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43" w:rsidRPr="00F347AE" w:rsidRDefault="00007743" w:rsidP="00007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347A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КИЇВСЬКИЙ НАЦІОНАЛЬНИЙ УНІВЕРСИТЕТ</w:t>
      </w:r>
    </w:p>
    <w:p w:rsidR="00007743" w:rsidRPr="00F347AE" w:rsidRDefault="00007743" w:rsidP="00007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F347A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ІМЕНІ ТАРАСА ШЕВЧЕНКА</w:t>
      </w:r>
    </w:p>
    <w:p w:rsidR="00007743" w:rsidRPr="00F347AE" w:rsidRDefault="00007743" w:rsidP="0000774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007743" w:rsidRPr="00F347AE" w:rsidRDefault="00007743" w:rsidP="00007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F347A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ІНСТИТУТ МІЖНАРОДНИХ ВІДНОСИН</w:t>
      </w:r>
    </w:p>
    <w:p w:rsidR="00007743" w:rsidRPr="00F347AE" w:rsidRDefault="00007743" w:rsidP="0000774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val="uk-UA" w:eastAsia="ru-RU"/>
        </w:rPr>
      </w:pPr>
      <w:r w:rsidRPr="00F347AE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val="uk-UA" w:eastAsia="ru-RU"/>
        </w:rPr>
        <w:t>Кафедра міжнародної інформації</w:t>
      </w:r>
    </w:p>
    <w:p w:rsidR="00007743" w:rsidRPr="00F347AE" w:rsidRDefault="00007743" w:rsidP="0000774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007743" w:rsidRPr="00F347AE" w:rsidRDefault="00007743" w:rsidP="00007743">
      <w:pPr>
        <w:spacing w:after="0" w:line="240" w:lineRule="auto"/>
        <w:ind w:left="5664" w:firstLine="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347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«ЗАТВЕРДЖУЮ»</w:t>
      </w:r>
    </w:p>
    <w:p w:rsidR="00007743" w:rsidRPr="00F347AE" w:rsidRDefault="00007743" w:rsidP="00007743">
      <w:pPr>
        <w:spacing w:after="0" w:line="240" w:lineRule="auto"/>
        <w:ind w:left="5664" w:firstLine="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347A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Заступник директора</w:t>
      </w:r>
      <w:r w:rsidRPr="00F34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347A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інституту з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науково-педагогічної</w:t>
      </w:r>
      <w:r w:rsidRPr="00F347A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роботи </w:t>
      </w:r>
    </w:p>
    <w:p w:rsidR="00007743" w:rsidRPr="00F347AE" w:rsidRDefault="00007743" w:rsidP="00007743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________</w:t>
      </w: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___________</w:t>
      </w:r>
    </w:p>
    <w:p w:rsidR="00007743" w:rsidRPr="00F347AE" w:rsidRDefault="00007743" w:rsidP="00007743">
      <w:pPr>
        <w:spacing w:before="200" w:after="0" w:line="240" w:lineRule="auto"/>
        <w:ind w:left="5664" w:firstLine="57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«____»________</w:t>
      </w:r>
      <w:r w:rsidRPr="00F34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___20__ року</w:t>
      </w:r>
    </w:p>
    <w:p w:rsidR="00007743" w:rsidRPr="00F347AE" w:rsidRDefault="00007743" w:rsidP="00007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07743" w:rsidRPr="00F347AE" w:rsidRDefault="00007743" w:rsidP="000077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F347AE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РОБОЧА ПРОГРАМА НАВЧАЛЬНОЇ ДИСЦИПЛІНИ</w:t>
      </w:r>
    </w:p>
    <w:p w:rsidR="00007743" w:rsidRPr="00F347AE" w:rsidRDefault="00007743" w:rsidP="0000774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24"/>
          <w:lang w:val="uk-UA" w:eastAsia="ru-RU"/>
        </w:rPr>
      </w:pPr>
    </w:p>
    <w:p w:rsidR="00007743" w:rsidRPr="00F347AE" w:rsidRDefault="00007743" w:rsidP="0000774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МІЖНАРОДНІ КОМУНІКАЦІЇ ТА ГЛОБАЛЬНИЙ РОЗВИТОК</w:t>
      </w:r>
    </w:p>
    <w:p w:rsidR="00007743" w:rsidRPr="00F347AE" w:rsidRDefault="00007743" w:rsidP="00007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07743" w:rsidRPr="00097E3E" w:rsidRDefault="00007743" w:rsidP="00007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97E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для студентів</w:t>
      </w:r>
    </w:p>
    <w:p w:rsidR="00007743" w:rsidRPr="00F347AE" w:rsidRDefault="00007743" w:rsidP="000077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7743" w:rsidRPr="00F347AE" w:rsidRDefault="00007743" w:rsidP="00007743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4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галузь знань </w:t>
      </w:r>
      <w:r w:rsidRPr="00F34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34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97E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  Міжнародні відносини</w:t>
      </w:r>
    </w:p>
    <w:p w:rsidR="00007743" w:rsidRPr="00097E3E" w:rsidRDefault="00007743" w:rsidP="00007743">
      <w:pPr>
        <w:spacing w:after="0" w:line="360" w:lineRule="auto"/>
        <w:ind w:left="2835" w:hanging="255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4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спеціальність</w:t>
      </w:r>
      <w:r w:rsidRPr="00F347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347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97E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291 Міжнародні відносини, суспільні комунікації та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97E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регіональні студії</w:t>
      </w:r>
    </w:p>
    <w:p w:rsidR="00007743" w:rsidRPr="00097E3E" w:rsidRDefault="00007743" w:rsidP="00007743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4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освітній рівень</w:t>
      </w:r>
      <w:r w:rsidRPr="00F347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347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97E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магістр</w:t>
      </w:r>
    </w:p>
    <w:p w:rsidR="00007743" w:rsidRPr="00097E3E" w:rsidRDefault="00007743" w:rsidP="00007743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4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освітня програма </w:t>
      </w:r>
      <w:r w:rsidRPr="00F34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97E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Міжнародні комунікації</w:t>
      </w:r>
    </w:p>
    <w:p w:rsidR="00007743" w:rsidRPr="00097E3E" w:rsidRDefault="00007743" w:rsidP="00007743">
      <w:pPr>
        <w:spacing w:before="40" w:after="0" w:line="360" w:lineRule="auto"/>
        <w:ind w:firstLine="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F34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 дисципліни</w:t>
      </w:r>
      <w:r w:rsidRPr="00F347AE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F347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97E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обов’язкова</w:t>
      </w:r>
      <w:r w:rsidRPr="00097E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</w:p>
    <w:p w:rsidR="00007743" w:rsidRPr="00F347AE" w:rsidRDefault="00007743" w:rsidP="00007743">
      <w:pPr>
        <w:spacing w:before="40"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4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Форма навчання </w:t>
      </w:r>
      <w:r w:rsidRPr="00F34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34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34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Денна</w:t>
      </w:r>
    </w:p>
    <w:p w:rsidR="00007743" w:rsidRPr="00F347AE" w:rsidRDefault="00007743" w:rsidP="00007743">
      <w:pPr>
        <w:spacing w:before="40"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Навчальний рік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2021/2022</w:t>
      </w:r>
    </w:p>
    <w:p w:rsidR="00007743" w:rsidRPr="00F347AE" w:rsidRDefault="00007743" w:rsidP="00007743">
      <w:pPr>
        <w:spacing w:before="40"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4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Семестр </w:t>
      </w:r>
      <w:r w:rsidRPr="00F34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34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34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34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34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</w:p>
    <w:p w:rsidR="00007743" w:rsidRPr="00F347AE" w:rsidRDefault="00007743" w:rsidP="00007743">
      <w:pPr>
        <w:spacing w:before="40" w:after="0" w:line="240" w:lineRule="auto"/>
        <w:ind w:left="3969"/>
        <w:jc w:val="both"/>
        <w:rPr>
          <w:rFonts w:ascii="Times New Roman" w:eastAsia="Times New Roman" w:hAnsi="Times New Roman" w:cs="Times New Roman"/>
          <w:szCs w:val="24"/>
          <w:lang w:val="uk-UA" w:eastAsia="ru-RU"/>
        </w:rPr>
      </w:pPr>
      <w:r w:rsidRPr="00F34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 кредитів ЕСТ</w:t>
      </w:r>
      <w:r w:rsidRPr="00F347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F34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347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347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34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007743" w:rsidRPr="00F347AE" w:rsidRDefault="00007743" w:rsidP="00007743">
      <w:pPr>
        <w:spacing w:before="40" w:after="0" w:line="204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4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Мова викладання, навчання </w:t>
      </w:r>
    </w:p>
    <w:p w:rsidR="00007743" w:rsidRPr="00F347AE" w:rsidRDefault="00007743" w:rsidP="00007743">
      <w:pPr>
        <w:spacing w:after="0" w:line="204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4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оцінювання </w:t>
      </w:r>
      <w:r w:rsidRPr="00F34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34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34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34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українська</w:t>
      </w:r>
    </w:p>
    <w:p w:rsidR="00007743" w:rsidRDefault="00007743" w:rsidP="00007743">
      <w:pPr>
        <w:spacing w:before="40"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4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Форма заключного контролю </w:t>
      </w:r>
      <w:r w:rsidRPr="00F34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34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347AE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іспит</w:t>
      </w:r>
      <w:proofErr w:type="spellEnd"/>
    </w:p>
    <w:p w:rsidR="00007743" w:rsidRPr="00097E3E" w:rsidRDefault="00007743" w:rsidP="00007743">
      <w:pPr>
        <w:spacing w:before="40"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7743" w:rsidRPr="00097E3E" w:rsidRDefault="00007743" w:rsidP="00007743">
      <w:pPr>
        <w:spacing w:before="80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347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Викладач:  </w:t>
      </w:r>
      <w:r w:rsidRPr="00097E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Фролова О.М.</w:t>
      </w:r>
    </w:p>
    <w:p w:rsidR="00007743" w:rsidRPr="00F347AE" w:rsidRDefault="00007743" w:rsidP="000077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007743" w:rsidRPr="00F347AE" w:rsidRDefault="00007743" w:rsidP="000077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007743" w:rsidRPr="00F347AE" w:rsidRDefault="00007743" w:rsidP="00007743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347AE">
        <w:rPr>
          <w:rFonts w:ascii="Times New Roman" w:eastAsia="Times New Roman" w:hAnsi="Times New Roman" w:cs="Times New Roman"/>
          <w:lang w:val="uk-UA" w:eastAsia="ru-RU"/>
        </w:rPr>
        <w:t xml:space="preserve">Пролонговано: на 20__/20__ </w:t>
      </w:r>
      <w:proofErr w:type="spellStart"/>
      <w:r w:rsidRPr="00F347AE">
        <w:rPr>
          <w:rFonts w:ascii="Times New Roman" w:eastAsia="Times New Roman" w:hAnsi="Times New Roman" w:cs="Times New Roman"/>
          <w:lang w:val="uk-UA" w:eastAsia="ru-RU"/>
        </w:rPr>
        <w:t>н.р</w:t>
      </w:r>
      <w:proofErr w:type="spellEnd"/>
      <w:r w:rsidRPr="00F347AE">
        <w:rPr>
          <w:rFonts w:ascii="Times New Roman" w:eastAsia="Times New Roman" w:hAnsi="Times New Roman" w:cs="Times New Roman"/>
          <w:lang w:val="uk-UA" w:eastAsia="ru-RU"/>
        </w:rPr>
        <w:t>. __________(___________) «__»___ 20__р.</w:t>
      </w:r>
    </w:p>
    <w:p w:rsidR="00007743" w:rsidRPr="00F347AE" w:rsidRDefault="00007743" w:rsidP="00007743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007743" w:rsidRPr="00F347AE" w:rsidRDefault="00007743" w:rsidP="00007743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347AE">
        <w:rPr>
          <w:rFonts w:ascii="Times New Roman" w:eastAsia="Times New Roman" w:hAnsi="Times New Roman" w:cs="Times New Roman"/>
          <w:lang w:val="uk-UA" w:eastAsia="ru-RU"/>
        </w:rPr>
        <w:t xml:space="preserve">на 20__/20__ </w:t>
      </w:r>
      <w:proofErr w:type="spellStart"/>
      <w:r w:rsidRPr="00F347AE">
        <w:rPr>
          <w:rFonts w:ascii="Times New Roman" w:eastAsia="Times New Roman" w:hAnsi="Times New Roman" w:cs="Times New Roman"/>
          <w:lang w:val="uk-UA" w:eastAsia="ru-RU"/>
        </w:rPr>
        <w:t>н.р</w:t>
      </w:r>
      <w:proofErr w:type="spellEnd"/>
      <w:r w:rsidRPr="00F347AE">
        <w:rPr>
          <w:rFonts w:ascii="Times New Roman" w:eastAsia="Times New Roman" w:hAnsi="Times New Roman" w:cs="Times New Roman"/>
          <w:lang w:val="uk-UA" w:eastAsia="ru-RU"/>
        </w:rPr>
        <w:t>. __________(___________) «__»___ 20__р.</w:t>
      </w:r>
    </w:p>
    <w:p w:rsidR="00007743" w:rsidRPr="00F347AE" w:rsidRDefault="00007743" w:rsidP="00007743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007743" w:rsidRPr="00F347AE" w:rsidRDefault="00007743" w:rsidP="00007743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007743" w:rsidRPr="00F347AE" w:rsidRDefault="00007743" w:rsidP="00007743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007743" w:rsidRPr="00097E3E" w:rsidRDefault="00007743" w:rsidP="0000774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КИЇВ – 2021</w:t>
      </w:r>
    </w:p>
    <w:p w:rsidR="00007743" w:rsidRPr="00F347AE" w:rsidRDefault="00007743" w:rsidP="00007743">
      <w:p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347A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>Розробник:</w:t>
      </w: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F347A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Фролова Оксана Миколаївна</w:t>
      </w: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кандидат політичних наук, доцент, </w:t>
      </w:r>
      <w:proofErr w:type="spellStart"/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доцент</w:t>
      </w:r>
      <w:proofErr w:type="spellEnd"/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кафедри міжнародної інформації</w:t>
      </w:r>
    </w:p>
    <w:p w:rsidR="00007743" w:rsidRPr="00F347AE" w:rsidRDefault="00007743" w:rsidP="00007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07743" w:rsidRPr="00F347AE" w:rsidRDefault="00007743" w:rsidP="00007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07743" w:rsidRPr="00F347AE" w:rsidRDefault="00007743" w:rsidP="00007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07743" w:rsidRPr="00F347AE" w:rsidRDefault="00007743" w:rsidP="000077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ЗАТВЕРДЖЕНО</w:t>
      </w:r>
    </w:p>
    <w:p w:rsidR="00007743" w:rsidRPr="00F347AE" w:rsidRDefault="00007743" w:rsidP="000077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10"/>
          <w:szCs w:val="24"/>
          <w:lang w:val="uk-UA" w:eastAsia="ru-RU"/>
        </w:rPr>
      </w:pPr>
    </w:p>
    <w:p w:rsidR="00007743" w:rsidRPr="00F347AE" w:rsidRDefault="00007743" w:rsidP="000077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Зав. кафедри міжнародної інформації</w:t>
      </w:r>
    </w:p>
    <w:p w:rsidR="00007743" w:rsidRPr="00F347AE" w:rsidRDefault="00007743" w:rsidP="000077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"/>
          <w:szCs w:val="24"/>
          <w:lang w:val="uk-UA" w:eastAsia="ru-RU"/>
        </w:rPr>
      </w:pPr>
    </w:p>
    <w:p w:rsidR="00007743" w:rsidRPr="00F347AE" w:rsidRDefault="00007743" w:rsidP="000077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07743" w:rsidRPr="00F347AE" w:rsidRDefault="00A571C5" w:rsidP="000077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________________    (Микола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Рижков</w:t>
      </w:r>
      <w:proofErr w:type="spellEnd"/>
      <w:r w:rsidR="00007743"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</w:t>
      </w:r>
    </w:p>
    <w:p w:rsidR="00007743" w:rsidRPr="00F347AE" w:rsidRDefault="00007743" w:rsidP="000077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</w:t>
      </w:r>
    </w:p>
    <w:p w:rsidR="00007743" w:rsidRPr="00F347AE" w:rsidRDefault="00007743" w:rsidP="000077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Протокол №__ від «____»__</w:t>
      </w: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___ 20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21</w:t>
      </w: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р.</w:t>
      </w:r>
    </w:p>
    <w:p w:rsidR="00007743" w:rsidRPr="00F347AE" w:rsidRDefault="00007743" w:rsidP="00007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07743" w:rsidRPr="00F347AE" w:rsidRDefault="00007743" w:rsidP="00007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07743" w:rsidRPr="00F347AE" w:rsidRDefault="00007743" w:rsidP="00007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07743" w:rsidRPr="00F347AE" w:rsidRDefault="00007743" w:rsidP="00007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07743" w:rsidRPr="00F347AE" w:rsidRDefault="00007743" w:rsidP="00007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Схвалено науково-методичною комісією Інституту  міжнародних відносин </w:t>
      </w:r>
    </w:p>
    <w:p w:rsidR="00007743" w:rsidRPr="00F347AE" w:rsidRDefault="00007743" w:rsidP="00007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07743" w:rsidRPr="00F347AE" w:rsidRDefault="00007743" w:rsidP="00007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Протокол від «____»  _____________  20___ року  №___</w:t>
      </w:r>
    </w:p>
    <w:p w:rsidR="00007743" w:rsidRPr="00F347AE" w:rsidRDefault="00007743" w:rsidP="00007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07743" w:rsidRPr="00F347AE" w:rsidRDefault="00007743" w:rsidP="00007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07743" w:rsidRPr="00F347AE" w:rsidRDefault="00007743" w:rsidP="00007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науково-методичної комісії </w:t>
      </w:r>
      <w:r w:rsidR="00A571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</w:t>
      </w:r>
      <w:r w:rsidR="00A571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__(Олена </w:t>
      </w:r>
      <w:proofErr w:type="spellStart"/>
      <w:r w:rsidR="00A571C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Приятельчук</w:t>
      </w:r>
      <w:proofErr w:type="spellEnd"/>
      <w:r w:rsidRPr="004C40B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</w:t>
      </w:r>
    </w:p>
    <w:p w:rsidR="00007743" w:rsidRPr="00F347AE" w:rsidRDefault="00007743" w:rsidP="0000774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val="uk-UA" w:eastAsia="ru-RU"/>
        </w:rPr>
      </w:pP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</w:t>
      </w:r>
      <w:r w:rsidRPr="00F347AE">
        <w:rPr>
          <w:rFonts w:ascii="Times New Roman" w:eastAsia="Times New Roman" w:hAnsi="Times New Roman" w:cs="Times New Roman"/>
          <w:lang w:val="uk-UA" w:eastAsia="ru-RU"/>
        </w:rPr>
        <w:t>(підпис)</w:t>
      </w:r>
      <w:r w:rsidRPr="00F347AE">
        <w:rPr>
          <w:rFonts w:ascii="Times New Roman" w:eastAsia="Times New Roman" w:hAnsi="Times New Roman" w:cs="Times New Roman"/>
          <w:lang w:val="uk-UA" w:eastAsia="ru-RU"/>
        </w:rPr>
        <w:tab/>
      </w:r>
      <w:r w:rsidRPr="00F347AE">
        <w:rPr>
          <w:rFonts w:ascii="Times New Roman" w:eastAsia="Times New Roman" w:hAnsi="Times New Roman" w:cs="Times New Roman"/>
          <w:lang w:val="uk-UA" w:eastAsia="ru-RU"/>
        </w:rPr>
        <w:tab/>
      </w:r>
      <w:r w:rsidRPr="00F347AE">
        <w:rPr>
          <w:rFonts w:ascii="Times New Roman" w:eastAsia="Times New Roman" w:hAnsi="Times New Roman" w:cs="Times New Roman"/>
          <w:lang w:val="uk-UA" w:eastAsia="ru-RU"/>
        </w:rPr>
        <w:tab/>
      </w:r>
    </w:p>
    <w:p w:rsidR="00007743" w:rsidRDefault="00007743" w:rsidP="00007743">
      <w:pPr>
        <w:jc w:val="center"/>
        <w:rPr>
          <w:lang w:val="uk-UA"/>
        </w:rPr>
      </w:pPr>
    </w:p>
    <w:p w:rsidR="00007743" w:rsidRDefault="00007743" w:rsidP="00007743">
      <w:pPr>
        <w:jc w:val="center"/>
        <w:rPr>
          <w:lang w:val="uk-UA"/>
        </w:rPr>
      </w:pPr>
    </w:p>
    <w:p w:rsidR="00007743" w:rsidRDefault="00007743" w:rsidP="00007743">
      <w:pPr>
        <w:jc w:val="center"/>
        <w:rPr>
          <w:lang w:val="uk-UA"/>
        </w:rPr>
      </w:pPr>
    </w:p>
    <w:p w:rsidR="00007743" w:rsidRDefault="00007743" w:rsidP="00007743">
      <w:pPr>
        <w:jc w:val="center"/>
        <w:rPr>
          <w:lang w:val="uk-UA"/>
        </w:rPr>
      </w:pPr>
    </w:p>
    <w:p w:rsidR="00007743" w:rsidRDefault="00007743" w:rsidP="00007743">
      <w:pPr>
        <w:jc w:val="center"/>
        <w:rPr>
          <w:lang w:val="uk-UA"/>
        </w:rPr>
      </w:pPr>
    </w:p>
    <w:p w:rsidR="00007743" w:rsidRDefault="00007743" w:rsidP="00007743">
      <w:pPr>
        <w:jc w:val="center"/>
        <w:rPr>
          <w:lang w:val="uk-UA"/>
        </w:rPr>
      </w:pPr>
    </w:p>
    <w:p w:rsidR="00007743" w:rsidRDefault="00007743" w:rsidP="00007743">
      <w:pPr>
        <w:jc w:val="center"/>
        <w:rPr>
          <w:lang w:val="uk-UA"/>
        </w:rPr>
      </w:pPr>
    </w:p>
    <w:p w:rsidR="00007743" w:rsidRDefault="00007743" w:rsidP="00007743">
      <w:pPr>
        <w:jc w:val="center"/>
        <w:rPr>
          <w:lang w:val="uk-UA"/>
        </w:rPr>
      </w:pPr>
    </w:p>
    <w:p w:rsidR="00007743" w:rsidRDefault="00007743" w:rsidP="00007743">
      <w:pPr>
        <w:jc w:val="center"/>
        <w:rPr>
          <w:lang w:val="uk-UA"/>
        </w:rPr>
      </w:pPr>
    </w:p>
    <w:p w:rsidR="00007743" w:rsidRDefault="00007743" w:rsidP="00007743">
      <w:pPr>
        <w:jc w:val="center"/>
        <w:rPr>
          <w:lang w:val="uk-UA"/>
        </w:rPr>
      </w:pPr>
    </w:p>
    <w:p w:rsidR="00007743" w:rsidRDefault="00007743" w:rsidP="00007743">
      <w:pPr>
        <w:jc w:val="center"/>
        <w:rPr>
          <w:lang w:val="uk-UA"/>
        </w:rPr>
      </w:pPr>
    </w:p>
    <w:p w:rsidR="00007743" w:rsidRDefault="00007743" w:rsidP="00007743">
      <w:pPr>
        <w:jc w:val="center"/>
        <w:rPr>
          <w:lang w:val="uk-UA"/>
        </w:rPr>
      </w:pPr>
    </w:p>
    <w:p w:rsidR="00007743" w:rsidRDefault="00007743" w:rsidP="00007743">
      <w:pPr>
        <w:jc w:val="center"/>
        <w:rPr>
          <w:lang w:val="uk-UA"/>
        </w:rPr>
      </w:pPr>
    </w:p>
    <w:p w:rsidR="00007743" w:rsidRDefault="00007743" w:rsidP="00007743">
      <w:pPr>
        <w:jc w:val="center"/>
        <w:rPr>
          <w:lang w:val="uk-UA"/>
        </w:rPr>
      </w:pPr>
    </w:p>
    <w:p w:rsidR="00007743" w:rsidRPr="00F347AE" w:rsidRDefault="00007743" w:rsidP="00007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F347AE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lastRenderedPageBreak/>
        <w:t>ВСТУП</w:t>
      </w:r>
    </w:p>
    <w:p w:rsidR="00007743" w:rsidRDefault="00007743" w:rsidP="00007743">
      <w:pPr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10B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Pr="00710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0B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 дисципліни</w:t>
      </w:r>
      <w:r w:rsidRPr="00710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– надання студентам знань та навичок ефективного управління міжнародною комунікацією та новітніми комунікаційними тенденціями у міжнародних відносинах, ознайомлення студентів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із особливостями сучасного стану та тенденціями</w:t>
      </w: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глобальних комунікаційних процесів, визначивши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можливості та необхідність</w:t>
      </w: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їх використання для  вирішення глобальних проблем сучасності та сталого розвитку. </w:t>
      </w:r>
    </w:p>
    <w:p w:rsidR="00007743" w:rsidRDefault="00007743" w:rsidP="00007743">
      <w:pPr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07743" w:rsidRDefault="00007743" w:rsidP="0000774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0B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 Попередні вимоги до опанування або вибору навчальної дисципліни </w:t>
      </w:r>
    </w:p>
    <w:p w:rsidR="00007743" w:rsidRPr="005B2BD8" w:rsidRDefault="00007743" w:rsidP="00007743">
      <w:pPr>
        <w:spacing w:after="0"/>
        <w:ind w:firstLine="5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2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Навчальна дисципліна 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Міжнародні комунікації та глобальний розвиток</w:t>
      </w:r>
      <w:r w:rsidRPr="005B2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базується та тісно взаємодіє із циклом дисциплін теоретичної, професійної та практичної підготовки, зокрема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«Міжнародна</w:t>
      </w:r>
      <w:r w:rsidRPr="005B2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інформація та комунікація</w:t>
      </w:r>
      <w:r w:rsidRPr="005B2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», «Політичні проблеми міжнародних систем і глобального розвитку», «Теорія комунікації», «</w:t>
      </w:r>
      <w:r w:rsidRPr="00EF4E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Аналіз зовнішньої політики</w:t>
      </w:r>
      <w:r w:rsidRPr="005B2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», «</w:t>
      </w:r>
      <w:r w:rsidRPr="00EF4E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Міжнародні віднос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ини та світова політика</w:t>
      </w:r>
      <w:r w:rsidRPr="005B2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», «</w:t>
      </w:r>
      <w:r w:rsidRPr="00EF4E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Кризові комунікації</w:t>
      </w:r>
      <w:r w:rsidRPr="005B2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тощо. </w:t>
      </w:r>
    </w:p>
    <w:p w:rsidR="00007743" w:rsidRDefault="00007743" w:rsidP="00007743">
      <w:pPr>
        <w:spacing w:after="0"/>
        <w:ind w:firstLine="5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C19B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Студент повинен володіти загальними знаннями про теорію міжнародних комунікацій; знати закономірності та особливості змін у сучасному глобалізованому світі, негативні наслідки та виклики процесів інформатизації  та глобалізації; розуміти роль міжнародних організацій та інших суб’єктів міжнародних відносин у вирішенні глобальних проблем сучасності; володіти знаннями про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норми міжнародного права;  в</w:t>
      </w:r>
      <w:r w:rsidRPr="009C19B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міти працювати з інформаційними джерелами, аналізувати комунікативні процеси та писати інформаційні матеріали.</w:t>
      </w:r>
    </w:p>
    <w:p w:rsidR="00007743" w:rsidRDefault="00007743" w:rsidP="00007743">
      <w:pPr>
        <w:spacing w:after="0"/>
        <w:ind w:firstLine="560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 w:eastAsia="ru-RU"/>
        </w:rPr>
      </w:pPr>
    </w:p>
    <w:p w:rsidR="00007743" w:rsidRDefault="00007743" w:rsidP="00007743">
      <w:pPr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3. </w:t>
      </w:r>
      <w:r w:rsidRPr="00F347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Анотація навчальної дисципліни: </w:t>
      </w: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навчальний курс включає вивчення концептуальних і методологічних засад дослідження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міжнародних комунікацій на рівні міжнародних організацій</w:t>
      </w:r>
      <w:r w:rsidRPr="00356E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держав та міждержавн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их асоціацій, транснаціональних</w:t>
      </w:r>
      <w:r w:rsidRPr="00356E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корпораці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й та</w:t>
      </w:r>
      <w:r w:rsidRPr="00356E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приватн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их</w:t>
      </w:r>
      <w:r w:rsidRPr="00356E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ос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іб</w:t>
      </w:r>
      <w:r w:rsidRPr="00356E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пов'язаних із запланованою трансформацією суспільст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ва із стану небезпеки, бідності, нерівності до</w:t>
      </w:r>
      <w:r w:rsidRPr="00356E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міжнародної безпеки, динамічн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ого</w:t>
      </w:r>
      <w:r w:rsidRPr="00356E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соціально-економічн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ого</w:t>
      </w:r>
      <w:r w:rsidRPr="00356E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зростання та вирішення глобальних проблем сучасності.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007743" w:rsidRDefault="00007743" w:rsidP="00007743">
      <w:pPr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81E38" w:rsidRDefault="00007743" w:rsidP="00A81E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4. </w:t>
      </w:r>
      <w:r w:rsidRPr="00F347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(навчальні цілі). </w:t>
      </w:r>
      <w:r w:rsidR="00A81E38" w:rsidRPr="00A8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 навчальної дисципліни «Міжнародні комунікації та глобальний розвиток»</w:t>
      </w:r>
      <w:r w:rsidR="00A8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81E38" w:rsidRPr="00A8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передбачає формування та розвиток у здобувачів </w:t>
      </w:r>
      <w:proofErr w:type="spellStart"/>
      <w:r w:rsidR="00A81E38" w:rsidRPr="00A8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="00A81E38" w:rsidRPr="00A8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програмних результатів навчання відповідно до освітньо-професійної програми «Міжнародні комунікації» </w:t>
      </w:r>
      <w:r w:rsidR="00A81E38" w:rsidRPr="00A8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спеціальності 291 - міжнародні відносини, суспільні комунікації та регіональні студії, зокрема: </w:t>
      </w:r>
    </w:p>
    <w:p w:rsidR="00007743" w:rsidRDefault="006773DC" w:rsidP="00A81E38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ЗК1. </w:t>
      </w:r>
      <w:r w:rsidR="00007743" w:rsidRPr="002006B8">
        <w:rPr>
          <w:sz w:val="28"/>
          <w:szCs w:val="28"/>
          <w:lang w:val="uk-UA"/>
        </w:rPr>
        <w:t>Здатність проведення досліджень на відповідному рівні</w:t>
      </w:r>
    </w:p>
    <w:p w:rsidR="00007743" w:rsidRPr="002006B8" w:rsidRDefault="006773DC" w:rsidP="00007743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ЗК7. </w:t>
      </w:r>
      <w:r w:rsidR="00007743" w:rsidRPr="002006B8">
        <w:rPr>
          <w:sz w:val="28"/>
          <w:szCs w:val="28"/>
          <w:lang w:val="uk-UA"/>
        </w:rPr>
        <w:t>Здатність гене</w:t>
      </w:r>
      <w:r w:rsidR="00007743">
        <w:rPr>
          <w:sz w:val="28"/>
          <w:szCs w:val="28"/>
          <w:lang w:val="uk-UA"/>
        </w:rPr>
        <w:t>рувати нові ідеї (креативність)</w:t>
      </w:r>
    </w:p>
    <w:p w:rsidR="00007743" w:rsidRDefault="006773DC" w:rsidP="00007743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ЗК8. </w:t>
      </w:r>
      <w:r w:rsidR="00007743" w:rsidRPr="002006B8">
        <w:rPr>
          <w:sz w:val="28"/>
          <w:szCs w:val="28"/>
          <w:lang w:val="uk-UA"/>
        </w:rPr>
        <w:t>Здатність пра</w:t>
      </w:r>
      <w:r w:rsidR="00007743">
        <w:rPr>
          <w:sz w:val="28"/>
          <w:szCs w:val="28"/>
          <w:lang w:val="uk-UA"/>
        </w:rPr>
        <w:t>цювати в міжнародному контексті</w:t>
      </w:r>
    </w:p>
    <w:p w:rsidR="00007743" w:rsidRPr="006773DC" w:rsidRDefault="006773DC" w:rsidP="00007743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ФК3. </w:t>
      </w:r>
      <w:r w:rsidR="00007743" w:rsidRPr="006773DC">
        <w:rPr>
          <w:sz w:val="28"/>
          <w:szCs w:val="28"/>
          <w:lang w:val="uk-UA"/>
        </w:rPr>
        <w:t>Здатність аргументувати вибір шляхів вирішення завдань професійного характеру у сфері міжнародних відносин, суспільних комунікацій та</w:t>
      </w:r>
      <w:r w:rsidRPr="006773DC">
        <w:rPr>
          <w:sz w:val="28"/>
          <w:szCs w:val="28"/>
          <w:lang w:val="uk-UA"/>
        </w:rPr>
        <w:t xml:space="preserve"> </w:t>
      </w:r>
      <w:r w:rsidR="00007743" w:rsidRPr="006773DC">
        <w:rPr>
          <w:sz w:val="28"/>
          <w:szCs w:val="28"/>
          <w:lang w:val="uk-UA"/>
        </w:rPr>
        <w:t>регіональних студій, критично оцінювати отримані результати та обґрунтовувати прийняті рішення</w:t>
      </w:r>
    </w:p>
    <w:p w:rsidR="00007743" w:rsidRDefault="006773DC" w:rsidP="00007743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ФК5. </w:t>
      </w:r>
      <w:r w:rsidR="00007743" w:rsidRPr="002006B8">
        <w:rPr>
          <w:sz w:val="28"/>
          <w:szCs w:val="28"/>
          <w:lang w:val="uk-UA"/>
        </w:rPr>
        <w:t>Здатність аналізувати та прогнозувати міжнародні відносини у різних контекстах, зокрема</w:t>
      </w:r>
      <w:r w:rsidR="00007743">
        <w:rPr>
          <w:sz w:val="28"/>
          <w:szCs w:val="28"/>
          <w:lang w:val="uk-UA"/>
        </w:rPr>
        <w:t>,</w:t>
      </w:r>
      <w:r w:rsidR="00007743" w:rsidRPr="002006B8">
        <w:rPr>
          <w:sz w:val="28"/>
          <w:szCs w:val="28"/>
          <w:lang w:val="uk-UA"/>
        </w:rPr>
        <w:t xml:space="preserve"> політичному, </w:t>
      </w:r>
      <w:proofErr w:type="spellStart"/>
      <w:r w:rsidR="00007743" w:rsidRPr="002006B8">
        <w:rPr>
          <w:sz w:val="28"/>
          <w:szCs w:val="28"/>
          <w:lang w:val="uk-UA"/>
        </w:rPr>
        <w:t>безпековому</w:t>
      </w:r>
      <w:proofErr w:type="spellEnd"/>
      <w:r w:rsidR="00007743" w:rsidRPr="002006B8">
        <w:rPr>
          <w:sz w:val="28"/>
          <w:szCs w:val="28"/>
          <w:lang w:val="uk-UA"/>
        </w:rPr>
        <w:t>, правовому, економічному, суспільному</w:t>
      </w:r>
      <w:r w:rsidR="00007743">
        <w:rPr>
          <w:sz w:val="28"/>
          <w:szCs w:val="28"/>
          <w:lang w:val="uk-UA"/>
        </w:rPr>
        <w:t>, культурному та інформаційному</w:t>
      </w:r>
    </w:p>
    <w:p w:rsidR="00007743" w:rsidRDefault="006773DC" w:rsidP="00007743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ФК6. </w:t>
      </w:r>
      <w:r w:rsidR="00007743" w:rsidRPr="002006B8">
        <w:rPr>
          <w:sz w:val="28"/>
          <w:szCs w:val="28"/>
          <w:lang w:val="uk-UA"/>
        </w:rPr>
        <w:t xml:space="preserve">Здатність використовувати для дослідження міжнародних відносин, суспільних комунікацій та регіональних студій, теоретичні та методологічні підходи політології, економічної та правової науки, </w:t>
      </w:r>
      <w:r w:rsidR="00007743">
        <w:rPr>
          <w:sz w:val="28"/>
          <w:szCs w:val="28"/>
          <w:lang w:val="uk-UA"/>
        </w:rPr>
        <w:t>міждисциплінарних досліджень</w:t>
      </w:r>
    </w:p>
    <w:p w:rsidR="00007743" w:rsidRPr="002006B8" w:rsidRDefault="006773DC" w:rsidP="00007743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ФК7. </w:t>
      </w:r>
      <w:r w:rsidR="00007743" w:rsidRPr="002006B8">
        <w:rPr>
          <w:sz w:val="28"/>
          <w:szCs w:val="28"/>
          <w:lang w:val="uk-UA"/>
        </w:rPr>
        <w:t xml:space="preserve">Здатність здійснювати прикладні аналітичні дослідження проблем міжнародних відносин та світової політики, суспільних комунікацій, регіональних студій, професійно готувати аналітичні </w:t>
      </w:r>
      <w:r w:rsidR="00007743">
        <w:rPr>
          <w:sz w:val="28"/>
          <w:szCs w:val="28"/>
          <w:lang w:val="uk-UA"/>
        </w:rPr>
        <w:t>матеріали та довідки</w:t>
      </w:r>
    </w:p>
    <w:p w:rsidR="00007743" w:rsidRPr="002006B8" w:rsidRDefault="006773DC" w:rsidP="00007743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ФК8. </w:t>
      </w:r>
      <w:r w:rsidR="00007743" w:rsidRPr="002006B8">
        <w:rPr>
          <w:sz w:val="28"/>
          <w:szCs w:val="28"/>
          <w:lang w:val="uk-UA"/>
        </w:rPr>
        <w:t xml:space="preserve">Здатність організовувати та проводити міжнародні зустрічі та переговори, розробляти, аналізувати і оцінювати дипломатичні та міжнародні </w:t>
      </w:r>
      <w:r w:rsidR="00007743">
        <w:rPr>
          <w:sz w:val="28"/>
          <w:szCs w:val="28"/>
          <w:lang w:val="uk-UA"/>
        </w:rPr>
        <w:t>документи</w:t>
      </w:r>
    </w:p>
    <w:p w:rsidR="00007743" w:rsidRDefault="006773DC" w:rsidP="00007743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ФК9. </w:t>
      </w:r>
      <w:r w:rsidR="00007743" w:rsidRPr="002006B8">
        <w:rPr>
          <w:sz w:val="28"/>
          <w:szCs w:val="28"/>
          <w:lang w:val="uk-UA"/>
        </w:rPr>
        <w:t xml:space="preserve">Здатність виявляти та аналізувати особливості розвитку країн та регіонів, сучасних глобальних, регіональних та локальних процесів, та місця в них </w:t>
      </w:r>
      <w:r w:rsidR="00007743">
        <w:rPr>
          <w:sz w:val="28"/>
          <w:szCs w:val="28"/>
          <w:lang w:val="uk-UA"/>
        </w:rPr>
        <w:t>України</w:t>
      </w:r>
    </w:p>
    <w:p w:rsidR="00007743" w:rsidRDefault="006773DC" w:rsidP="00007743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ФК11. </w:t>
      </w:r>
      <w:r w:rsidR="00007743" w:rsidRPr="002006B8">
        <w:rPr>
          <w:sz w:val="28"/>
          <w:szCs w:val="28"/>
          <w:lang w:val="uk-UA"/>
        </w:rPr>
        <w:t>Здатність здійснювати дослідження та/або запроваджувати інновації у галузі міжнародних відносин, зовнішньої політики, суспільних комунікацій та регіональних студій</w:t>
      </w:r>
    </w:p>
    <w:p w:rsidR="00007743" w:rsidRPr="002006B8" w:rsidRDefault="006773DC" w:rsidP="00007743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ФК16. </w:t>
      </w:r>
      <w:r w:rsidR="00007743" w:rsidRPr="002006B8">
        <w:rPr>
          <w:sz w:val="28"/>
          <w:szCs w:val="28"/>
          <w:lang w:val="uk-UA"/>
        </w:rPr>
        <w:t xml:space="preserve">Здатність використовувати стратегії, методи і засоби управління комунікаціями на міжнародному, регіональному, державному та корпоративному </w:t>
      </w:r>
      <w:r w:rsidR="00007743">
        <w:rPr>
          <w:sz w:val="28"/>
          <w:szCs w:val="28"/>
          <w:lang w:val="uk-UA"/>
        </w:rPr>
        <w:t>рівнях</w:t>
      </w:r>
    </w:p>
    <w:p w:rsidR="00007743" w:rsidRDefault="00007743" w:rsidP="0000774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5. </w:t>
      </w:r>
      <w:r w:rsidRPr="00F347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Результати навчання за дисципліною: </w:t>
      </w:r>
    </w:p>
    <w:p w:rsidR="00007743" w:rsidRPr="00F347AE" w:rsidRDefault="00007743" w:rsidP="00007743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4110"/>
        <w:gridCol w:w="1639"/>
        <w:gridCol w:w="2189"/>
        <w:gridCol w:w="1072"/>
      </w:tblGrid>
      <w:tr w:rsidR="00007743" w:rsidRPr="00A571C5" w:rsidTr="00594D1B">
        <w:tc>
          <w:tcPr>
            <w:tcW w:w="4593" w:type="dxa"/>
            <w:gridSpan w:val="2"/>
            <w:shd w:val="clear" w:color="auto" w:fill="auto"/>
            <w:vAlign w:val="center"/>
          </w:tcPr>
          <w:p w:rsidR="00007743" w:rsidRPr="00F347AE" w:rsidRDefault="00007743" w:rsidP="00594D1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Результат навчання</w:t>
            </w:r>
          </w:p>
          <w:p w:rsidR="00007743" w:rsidRPr="00F347AE" w:rsidRDefault="00007743" w:rsidP="00594D1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F347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 знати; 2. вміти; 3. комунікація; 4. автономність та відповідальність)</w:t>
            </w:r>
          </w:p>
        </w:tc>
        <w:tc>
          <w:tcPr>
            <w:tcW w:w="1639" w:type="dxa"/>
            <w:vMerge w:val="restart"/>
            <w:shd w:val="clear" w:color="auto" w:fill="auto"/>
            <w:vAlign w:val="center"/>
          </w:tcPr>
          <w:p w:rsidR="00007743" w:rsidRPr="00F347AE" w:rsidRDefault="00007743" w:rsidP="00594D1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Форми/методи і технології викладання і навчання</w:t>
            </w:r>
          </w:p>
        </w:tc>
        <w:tc>
          <w:tcPr>
            <w:tcW w:w="2189" w:type="dxa"/>
            <w:vMerge w:val="restart"/>
          </w:tcPr>
          <w:p w:rsidR="00007743" w:rsidRDefault="00007743" w:rsidP="00594D1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007743" w:rsidRDefault="00007743" w:rsidP="00594D1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007743" w:rsidRPr="00F347AE" w:rsidRDefault="00007743" w:rsidP="00594D1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Методи оцінювання 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007743" w:rsidRPr="00F347AE" w:rsidRDefault="00007743" w:rsidP="00594D1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Відсоток у підсумковій оцінці з дисципліни</w:t>
            </w:r>
          </w:p>
        </w:tc>
      </w:tr>
      <w:tr w:rsidR="00007743" w:rsidRPr="00F347AE" w:rsidTr="00594D1B">
        <w:trPr>
          <w:trHeight w:val="613"/>
        </w:trPr>
        <w:tc>
          <w:tcPr>
            <w:tcW w:w="483" w:type="dxa"/>
            <w:shd w:val="clear" w:color="auto" w:fill="auto"/>
            <w:vAlign w:val="center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lang w:val="uk-UA" w:eastAsia="ru-RU"/>
              </w:rPr>
              <w:t>Код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lang w:val="uk-UA" w:eastAsia="ru-RU"/>
              </w:rPr>
              <w:t>Результат навчання</w:t>
            </w:r>
          </w:p>
        </w:tc>
        <w:tc>
          <w:tcPr>
            <w:tcW w:w="1639" w:type="dxa"/>
            <w:vMerge/>
            <w:shd w:val="clear" w:color="auto" w:fill="auto"/>
          </w:tcPr>
          <w:p w:rsidR="00007743" w:rsidRPr="00F347AE" w:rsidRDefault="00007743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2189" w:type="dxa"/>
            <w:vMerge/>
          </w:tcPr>
          <w:p w:rsidR="00007743" w:rsidRPr="00F347AE" w:rsidRDefault="00007743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007743" w:rsidRPr="00F347AE" w:rsidRDefault="00007743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007743" w:rsidRPr="00C35223" w:rsidTr="00594D1B">
        <w:trPr>
          <w:trHeight w:val="335"/>
        </w:trPr>
        <w:tc>
          <w:tcPr>
            <w:tcW w:w="483" w:type="dxa"/>
            <w:shd w:val="clear" w:color="auto" w:fill="auto"/>
            <w:vAlign w:val="center"/>
          </w:tcPr>
          <w:p w:rsidR="00007743" w:rsidRPr="00C35223" w:rsidRDefault="00007743" w:rsidP="00594D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2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07743" w:rsidRPr="00C35223" w:rsidRDefault="00007743" w:rsidP="00594D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2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39" w:type="dxa"/>
            <w:shd w:val="clear" w:color="auto" w:fill="auto"/>
          </w:tcPr>
          <w:p w:rsidR="00007743" w:rsidRPr="00C35223" w:rsidRDefault="00007743" w:rsidP="00594D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2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89" w:type="dxa"/>
          </w:tcPr>
          <w:p w:rsidR="00007743" w:rsidRPr="00C35223" w:rsidRDefault="00007743" w:rsidP="00594D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2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72" w:type="dxa"/>
            <w:shd w:val="clear" w:color="auto" w:fill="auto"/>
          </w:tcPr>
          <w:p w:rsidR="00007743" w:rsidRPr="00C35223" w:rsidRDefault="00007743" w:rsidP="00594D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2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007743" w:rsidRPr="00C35223" w:rsidTr="00594D1B">
        <w:trPr>
          <w:trHeight w:val="284"/>
        </w:trPr>
        <w:tc>
          <w:tcPr>
            <w:tcW w:w="9493" w:type="dxa"/>
            <w:gridSpan w:val="5"/>
            <w:shd w:val="clear" w:color="auto" w:fill="auto"/>
            <w:vAlign w:val="center"/>
          </w:tcPr>
          <w:p w:rsidR="00007743" w:rsidRPr="00C35223" w:rsidRDefault="00007743" w:rsidP="00594D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0AB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1.</w:t>
            </w:r>
            <w:r w:rsidRPr="00C3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  <w:r w:rsidRPr="00C3522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uk-UA"/>
              </w:rPr>
              <w:t>Знати та оволодіти теоретичними знаннями про:</w:t>
            </w:r>
          </w:p>
        </w:tc>
      </w:tr>
      <w:tr w:rsidR="00007743" w:rsidRPr="00F347AE" w:rsidTr="00594D1B">
        <w:tc>
          <w:tcPr>
            <w:tcW w:w="483" w:type="dxa"/>
            <w:shd w:val="clear" w:color="auto" w:fill="auto"/>
          </w:tcPr>
          <w:p w:rsidR="00007743" w:rsidRPr="00F347AE" w:rsidRDefault="00007743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4110" w:type="dxa"/>
            <w:shd w:val="clear" w:color="auto" w:fill="auto"/>
          </w:tcPr>
          <w:p w:rsidR="00007743" w:rsidRPr="00F347AE" w:rsidRDefault="00007743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46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наслідки процесу глобалізації: </w:t>
            </w:r>
            <w:r w:rsidRPr="00F4746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>позитивні та негативні</w:t>
            </w:r>
          </w:p>
        </w:tc>
        <w:tc>
          <w:tcPr>
            <w:tcW w:w="1639" w:type="dxa"/>
            <w:shd w:val="clear" w:color="auto" w:fill="auto"/>
          </w:tcPr>
          <w:p w:rsidR="00007743" w:rsidRDefault="00007743" w:rsidP="00594D1B">
            <w:pPr>
              <w:spacing w:after="0" w:line="240" w:lineRule="auto"/>
              <w:ind w:left="-57"/>
              <w:jc w:val="center"/>
            </w:pPr>
            <w:r w:rsidRPr="00486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Лекція, </w:t>
            </w:r>
            <w:r w:rsidRPr="00486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семінарське заняття, самостійна робота</w:t>
            </w:r>
          </w:p>
        </w:tc>
        <w:tc>
          <w:tcPr>
            <w:tcW w:w="2189" w:type="dxa"/>
          </w:tcPr>
          <w:p w:rsidR="00007743" w:rsidRPr="00F347AE" w:rsidRDefault="00007743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523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lastRenderedPageBreak/>
              <w:t xml:space="preserve">Виступи на </w:t>
            </w:r>
            <w:proofErr w:type="spellStart"/>
            <w:r w:rsidRPr="009C523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се-</w:t>
            </w:r>
            <w:r w:rsidRPr="009C523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lastRenderedPageBreak/>
              <w:t>мінарських</w:t>
            </w:r>
            <w:proofErr w:type="spellEnd"/>
            <w:r w:rsidRPr="009C523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</w:t>
            </w:r>
            <w:proofErr w:type="spellStart"/>
            <w:r w:rsidRPr="009C523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за-няттях</w:t>
            </w:r>
            <w:proofErr w:type="spellEnd"/>
            <w:r w:rsidRPr="009C523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, проміжний заліковий модуль</w:t>
            </w:r>
          </w:p>
        </w:tc>
        <w:tc>
          <w:tcPr>
            <w:tcW w:w="1072" w:type="dxa"/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5%</w:t>
            </w:r>
          </w:p>
        </w:tc>
      </w:tr>
      <w:tr w:rsidR="00007743" w:rsidRPr="00F347AE" w:rsidTr="00594D1B">
        <w:tc>
          <w:tcPr>
            <w:tcW w:w="483" w:type="dxa"/>
            <w:shd w:val="clear" w:color="auto" w:fill="auto"/>
          </w:tcPr>
          <w:p w:rsidR="00007743" w:rsidRPr="00F347AE" w:rsidRDefault="00007743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1.2</w:t>
            </w:r>
          </w:p>
        </w:tc>
        <w:tc>
          <w:tcPr>
            <w:tcW w:w="4110" w:type="dxa"/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природу, </w:t>
            </w:r>
            <w:r w:rsidRPr="009C523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роль та цілі міжнародної комунікації</w:t>
            </w:r>
          </w:p>
        </w:tc>
        <w:tc>
          <w:tcPr>
            <w:tcW w:w="1639" w:type="dxa"/>
            <w:shd w:val="clear" w:color="auto" w:fill="auto"/>
          </w:tcPr>
          <w:p w:rsidR="00007743" w:rsidRDefault="00007743" w:rsidP="00594D1B">
            <w:pPr>
              <w:spacing w:after="0" w:line="240" w:lineRule="auto"/>
              <w:ind w:left="-57"/>
              <w:jc w:val="center"/>
            </w:pPr>
            <w:r w:rsidRPr="00486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Лекція, семінарське заняття, самостійна робота</w:t>
            </w:r>
          </w:p>
        </w:tc>
        <w:tc>
          <w:tcPr>
            <w:tcW w:w="2189" w:type="dxa"/>
          </w:tcPr>
          <w:p w:rsidR="00007743" w:rsidRDefault="00007743" w:rsidP="00594D1B">
            <w:pPr>
              <w:jc w:val="both"/>
            </w:pPr>
            <w:r w:rsidRPr="0006060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Виступи на </w:t>
            </w:r>
            <w:proofErr w:type="spellStart"/>
            <w:r w:rsidRPr="0006060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се-мінарських</w:t>
            </w:r>
            <w:proofErr w:type="spellEnd"/>
            <w:r w:rsidRPr="0006060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</w:t>
            </w:r>
            <w:proofErr w:type="spellStart"/>
            <w:r w:rsidRPr="0006060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за-няттях</w:t>
            </w:r>
            <w:proofErr w:type="spellEnd"/>
            <w:r w:rsidRPr="0006060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, проміжний заліковий модуль</w:t>
            </w:r>
          </w:p>
        </w:tc>
        <w:tc>
          <w:tcPr>
            <w:tcW w:w="1072" w:type="dxa"/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5%</w:t>
            </w:r>
          </w:p>
        </w:tc>
      </w:tr>
      <w:tr w:rsidR="00007743" w:rsidRPr="00F347AE" w:rsidTr="00594D1B">
        <w:tc>
          <w:tcPr>
            <w:tcW w:w="483" w:type="dxa"/>
            <w:shd w:val="clear" w:color="auto" w:fill="auto"/>
          </w:tcPr>
          <w:p w:rsidR="00007743" w:rsidRPr="00F347AE" w:rsidRDefault="00007743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4110" w:type="dxa"/>
            <w:shd w:val="clear" w:color="auto" w:fill="auto"/>
          </w:tcPr>
          <w:p w:rsidR="00007743" w:rsidRPr="009C5232" w:rsidRDefault="00007743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діяльність основних суб’єктів</w:t>
            </w:r>
            <w:r w:rsidRPr="009C523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міжнародної комунікації</w:t>
            </w:r>
          </w:p>
        </w:tc>
        <w:tc>
          <w:tcPr>
            <w:tcW w:w="1639" w:type="dxa"/>
            <w:shd w:val="clear" w:color="auto" w:fill="auto"/>
          </w:tcPr>
          <w:p w:rsidR="00007743" w:rsidRDefault="00007743" w:rsidP="00594D1B">
            <w:pPr>
              <w:spacing w:after="0" w:line="240" w:lineRule="auto"/>
              <w:ind w:left="-57"/>
              <w:jc w:val="center"/>
            </w:pPr>
            <w:r w:rsidRPr="00486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Лекція, семінарське заняття, самостійна робота</w:t>
            </w:r>
          </w:p>
        </w:tc>
        <w:tc>
          <w:tcPr>
            <w:tcW w:w="2189" w:type="dxa"/>
          </w:tcPr>
          <w:p w:rsidR="00007743" w:rsidRDefault="00007743" w:rsidP="00594D1B">
            <w:pPr>
              <w:jc w:val="both"/>
            </w:pPr>
            <w:r w:rsidRPr="0006060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Виступи на </w:t>
            </w:r>
            <w:proofErr w:type="spellStart"/>
            <w:r w:rsidRPr="0006060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се-мінарських</w:t>
            </w:r>
            <w:proofErr w:type="spellEnd"/>
            <w:r w:rsidRPr="0006060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</w:t>
            </w:r>
            <w:proofErr w:type="spellStart"/>
            <w:r w:rsidRPr="0006060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за-няттях</w:t>
            </w:r>
            <w:proofErr w:type="spellEnd"/>
            <w:r w:rsidRPr="0006060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, проміжний заліковий модуль</w:t>
            </w:r>
          </w:p>
        </w:tc>
        <w:tc>
          <w:tcPr>
            <w:tcW w:w="1072" w:type="dxa"/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5%</w:t>
            </w:r>
          </w:p>
        </w:tc>
      </w:tr>
      <w:tr w:rsidR="00007743" w:rsidRPr="00F347AE" w:rsidTr="00594D1B">
        <w:trPr>
          <w:trHeight w:val="273"/>
        </w:trPr>
        <w:tc>
          <w:tcPr>
            <w:tcW w:w="483" w:type="dxa"/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</w:t>
            </w:r>
          </w:p>
        </w:tc>
        <w:tc>
          <w:tcPr>
            <w:tcW w:w="4110" w:type="dxa"/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механізми та інструменти «комунікації для розвитку»</w:t>
            </w:r>
          </w:p>
        </w:tc>
        <w:tc>
          <w:tcPr>
            <w:tcW w:w="1639" w:type="dxa"/>
            <w:shd w:val="clear" w:color="auto" w:fill="auto"/>
          </w:tcPr>
          <w:p w:rsidR="00007743" w:rsidRDefault="00007743" w:rsidP="00594D1B">
            <w:pPr>
              <w:spacing w:after="0" w:line="240" w:lineRule="auto"/>
              <w:ind w:left="-57"/>
              <w:jc w:val="center"/>
            </w:pPr>
            <w:r w:rsidRPr="00486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Лекція, семінарське заняття, самостійна робота</w:t>
            </w:r>
          </w:p>
        </w:tc>
        <w:tc>
          <w:tcPr>
            <w:tcW w:w="2189" w:type="dxa"/>
          </w:tcPr>
          <w:p w:rsidR="00007743" w:rsidRDefault="00007743" w:rsidP="00594D1B">
            <w:pPr>
              <w:jc w:val="both"/>
            </w:pPr>
            <w:r w:rsidRPr="0006060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Виступи на </w:t>
            </w:r>
            <w:proofErr w:type="spellStart"/>
            <w:r w:rsidRPr="0006060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се-мінарських</w:t>
            </w:r>
            <w:proofErr w:type="spellEnd"/>
            <w:r w:rsidRPr="0006060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</w:t>
            </w:r>
            <w:proofErr w:type="spellStart"/>
            <w:r w:rsidRPr="0006060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за-няттях</w:t>
            </w:r>
            <w:proofErr w:type="spellEnd"/>
            <w:r w:rsidRPr="0006060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, проміжний заліковий модуль</w:t>
            </w:r>
          </w:p>
        </w:tc>
        <w:tc>
          <w:tcPr>
            <w:tcW w:w="1072" w:type="dxa"/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10%</w:t>
            </w:r>
          </w:p>
        </w:tc>
      </w:tr>
      <w:tr w:rsidR="00007743" w:rsidRPr="00F347AE" w:rsidTr="00594D1B">
        <w:tc>
          <w:tcPr>
            <w:tcW w:w="9493" w:type="dxa"/>
            <w:gridSpan w:val="5"/>
            <w:shd w:val="clear" w:color="auto" w:fill="auto"/>
          </w:tcPr>
          <w:p w:rsidR="00007743" w:rsidRPr="009B0AB5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9B0A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2. Вміти:</w:t>
            </w:r>
          </w:p>
        </w:tc>
      </w:tr>
      <w:tr w:rsidR="00007743" w:rsidRPr="00F347AE" w:rsidTr="00594D1B">
        <w:tc>
          <w:tcPr>
            <w:tcW w:w="483" w:type="dxa"/>
            <w:shd w:val="clear" w:color="auto" w:fill="auto"/>
          </w:tcPr>
          <w:p w:rsidR="00007743" w:rsidRPr="00F347AE" w:rsidRDefault="00007743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4110" w:type="dxa"/>
            <w:shd w:val="clear" w:color="auto" w:fill="auto"/>
          </w:tcPr>
          <w:p w:rsidR="00007743" w:rsidRPr="00193E70" w:rsidRDefault="00007743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1A5D6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окремлювати характерні ознаки,</w:t>
            </w:r>
            <w:r w:rsidRPr="001A5D6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тенденції розвитку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та загрози сучасного глобалізованого світу</w:t>
            </w:r>
          </w:p>
        </w:tc>
        <w:tc>
          <w:tcPr>
            <w:tcW w:w="1639" w:type="dxa"/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center"/>
            </w:pPr>
            <w:r w:rsidRPr="00146E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Лекція, семінарське заняття,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а</w:t>
            </w:r>
            <w:r w:rsidRPr="00DB622E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налітична робота</w:t>
            </w:r>
            <w:r w:rsidRPr="00146E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189" w:type="dxa"/>
          </w:tcPr>
          <w:p w:rsidR="00007743" w:rsidRPr="00193E70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</w:t>
            </w:r>
            <w:r w:rsidRPr="00844B7E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цінка якості виконання завдання та його презентації на занятті</w:t>
            </w:r>
          </w:p>
        </w:tc>
        <w:tc>
          <w:tcPr>
            <w:tcW w:w="1072" w:type="dxa"/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10%</w:t>
            </w:r>
          </w:p>
        </w:tc>
      </w:tr>
      <w:tr w:rsidR="00007743" w:rsidRPr="00F347AE" w:rsidTr="00594D1B">
        <w:tc>
          <w:tcPr>
            <w:tcW w:w="483" w:type="dxa"/>
            <w:shd w:val="clear" w:color="auto" w:fill="auto"/>
          </w:tcPr>
          <w:p w:rsidR="00007743" w:rsidRPr="00F347AE" w:rsidRDefault="00007743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007743" w:rsidRPr="00F347AE" w:rsidRDefault="00007743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визначати та давати характеристику глобальним</w:t>
            </w:r>
            <w:r w:rsidRPr="001A5D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проблем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</w:t>
            </w:r>
            <w:r w:rsidRPr="001A5D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сучасності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сферами</w:t>
            </w:r>
          </w:p>
        </w:tc>
        <w:tc>
          <w:tcPr>
            <w:tcW w:w="1639" w:type="dxa"/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center"/>
            </w:pPr>
            <w:r w:rsidRPr="00146E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Лекція, семінарське заняття,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954C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ейс-проект</w:t>
            </w:r>
          </w:p>
        </w:tc>
        <w:tc>
          <w:tcPr>
            <w:tcW w:w="2189" w:type="dxa"/>
          </w:tcPr>
          <w:p w:rsidR="00007743" w:rsidRPr="00193E70" w:rsidRDefault="00007743" w:rsidP="0059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>цінка</w:t>
            </w:r>
            <w:proofErr w:type="spellEnd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>презентації</w:t>
            </w:r>
            <w:proofErr w:type="spellEnd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>занятті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007743" w:rsidRDefault="00007743" w:rsidP="00594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7743" w:rsidRPr="00DB622E" w:rsidRDefault="00007743" w:rsidP="00594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10%</w:t>
            </w:r>
          </w:p>
        </w:tc>
      </w:tr>
      <w:tr w:rsidR="00007743" w:rsidRPr="00F347AE" w:rsidTr="00594D1B">
        <w:tc>
          <w:tcPr>
            <w:tcW w:w="483" w:type="dxa"/>
            <w:shd w:val="clear" w:color="auto" w:fill="auto"/>
          </w:tcPr>
          <w:p w:rsidR="00007743" w:rsidRPr="00F347AE" w:rsidRDefault="00007743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007743" w:rsidRPr="00954C2A" w:rsidRDefault="00007743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4C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генерувати можливі комунікативні рішення для глобального розвитку та визначати участь міжнародного співтовариства у вирішенні проблеми</w:t>
            </w:r>
          </w:p>
        </w:tc>
        <w:tc>
          <w:tcPr>
            <w:tcW w:w="1639" w:type="dxa"/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center"/>
            </w:pPr>
            <w:r w:rsidRPr="00146E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Лекція, семінарське заняття, </w:t>
            </w:r>
            <w:r w:rsidRPr="00954C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кейс-проект</w:t>
            </w:r>
          </w:p>
        </w:tc>
        <w:tc>
          <w:tcPr>
            <w:tcW w:w="2189" w:type="dxa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>цінка</w:t>
            </w:r>
            <w:proofErr w:type="spellEnd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>презентації</w:t>
            </w:r>
            <w:proofErr w:type="spellEnd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>занятті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20%</w:t>
            </w:r>
          </w:p>
        </w:tc>
      </w:tr>
      <w:tr w:rsidR="00007743" w:rsidRPr="00A37B1E" w:rsidTr="00594D1B">
        <w:tc>
          <w:tcPr>
            <w:tcW w:w="483" w:type="dxa"/>
            <w:shd w:val="clear" w:color="auto" w:fill="auto"/>
          </w:tcPr>
          <w:p w:rsidR="00007743" w:rsidRPr="00F347AE" w:rsidRDefault="00007743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2.4</w:t>
            </w:r>
          </w:p>
        </w:tc>
        <w:tc>
          <w:tcPr>
            <w:tcW w:w="4110" w:type="dxa"/>
            <w:shd w:val="clear" w:color="auto" w:fill="auto"/>
          </w:tcPr>
          <w:p w:rsidR="00007743" w:rsidRPr="00954C2A" w:rsidRDefault="00007743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4C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аналізувати участь України у міжнародних програмах і проектах щодо глобального розвитку</w:t>
            </w:r>
          </w:p>
        </w:tc>
        <w:tc>
          <w:tcPr>
            <w:tcW w:w="1639" w:type="dxa"/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center"/>
            </w:pPr>
            <w:r w:rsidRPr="00146E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Лекція, семінарське заняття, </w:t>
            </w:r>
            <w:r w:rsidRPr="00954C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аналітична робота</w:t>
            </w:r>
          </w:p>
        </w:tc>
        <w:tc>
          <w:tcPr>
            <w:tcW w:w="2189" w:type="dxa"/>
          </w:tcPr>
          <w:p w:rsidR="00007743" w:rsidRPr="00DB622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</w:t>
            </w:r>
            <w:r w:rsidRPr="00844B7E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цінка якості виконання завдання та його презентації на занятті</w:t>
            </w:r>
          </w:p>
        </w:tc>
        <w:tc>
          <w:tcPr>
            <w:tcW w:w="1072" w:type="dxa"/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15%</w:t>
            </w:r>
          </w:p>
        </w:tc>
      </w:tr>
      <w:tr w:rsidR="00007743" w:rsidRPr="00A37B1E" w:rsidTr="00594D1B">
        <w:tc>
          <w:tcPr>
            <w:tcW w:w="9493" w:type="dxa"/>
            <w:gridSpan w:val="5"/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7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3. </w:t>
            </w:r>
            <w:r w:rsidRPr="005A700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uk-UA"/>
              </w:rPr>
              <w:t>Отримати базові комунікативні навички</w:t>
            </w:r>
            <w:r w:rsidRPr="005A70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</w:tc>
      </w:tr>
      <w:tr w:rsidR="00007743" w:rsidRPr="00F347AE" w:rsidTr="00594D1B">
        <w:tc>
          <w:tcPr>
            <w:tcW w:w="483" w:type="dxa"/>
            <w:shd w:val="clear" w:color="auto" w:fill="auto"/>
          </w:tcPr>
          <w:p w:rsidR="00007743" w:rsidRPr="00F347AE" w:rsidRDefault="00007743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</w:t>
            </w:r>
          </w:p>
        </w:tc>
        <w:tc>
          <w:tcPr>
            <w:tcW w:w="4110" w:type="dxa"/>
            <w:shd w:val="clear" w:color="auto" w:fill="auto"/>
          </w:tcPr>
          <w:p w:rsidR="00007743" w:rsidRPr="00F347AE" w:rsidRDefault="00007743" w:rsidP="004D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під час</w:t>
            </w:r>
            <w:r w:rsidRPr="00A37B1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участ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</w:t>
            </w:r>
            <w:r w:rsidRPr="00A37B1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або організ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ації</w:t>
            </w:r>
            <w:r w:rsidRPr="00A37B1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обговорення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способів та механізмів використання  міжнародної комунікації для вирішення глобальних проблем сучасності </w:t>
            </w:r>
          </w:p>
        </w:tc>
        <w:tc>
          <w:tcPr>
            <w:tcW w:w="1639" w:type="dxa"/>
            <w:shd w:val="clear" w:color="auto" w:fill="auto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Pr="00DB62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емінарське заняття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виконання кейс-проектів,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предметні дискусії</w:t>
            </w:r>
          </w:p>
        </w:tc>
        <w:tc>
          <w:tcPr>
            <w:tcW w:w="2189" w:type="dxa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C2E9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Оцінка активності й участі в обговоренні</w:t>
            </w:r>
          </w:p>
        </w:tc>
        <w:tc>
          <w:tcPr>
            <w:tcW w:w="1072" w:type="dxa"/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5%</w:t>
            </w:r>
          </w:p>
        </w:tc>
      </w:tr>
      <w:tr w:rsidR="00007743" w:rsidRPr="00F347AE" w:rsidTr="00594D1B">
        <w:tc>
          <w:tcPr>
            <w:tcW w:w="483" w:type="dxa"/>
            <w:shd w:val="clear" w:color="auto" w:fill="auto"/>
          </w:tcPr>
          <w:p w:rsidR="00007743" w:rsidRPr="00F347AE" w:rsidRDefault="00007743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3.2</w:t>
            </w:r>
          </w:p>
        </w:tc>
        <w:tc>
          <w:tcPr>
            <w:tcW w:w="4110" w:type="dxa"/>
            <w:shd w:val="clear" w:color="auto" w:fill="auto"/>
          </w:tcPr>
          <w:p w:rsidR="00007743" w:rsidRPr="00F347AE" w:rsidRDefault="00007743" w:rsidP="004D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A37B1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 процесі пошуку інформації в результаті добровільного, взаємного обміну нею між зацікавленими учасниками</w:t>
            </w:r>
          </w:p>
        </w:tc>
        <w:tc>
          <w:tcPr>
            <w:tcW w:w="1639" w:type="dxa"/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7B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Семінарське заняття, виконання кейс-проектів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предметні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дискусії</w:t>
            </w:r>
          </w:p>
        </w:tc>
        <w:tc>
          <w:tcPr>
            <w:tcW w:w="2189" w:type="dxa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FC2E9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lastRenderedPageBreak/>
              <w:t>Оцінка активності й участі в обговоренні</w:t>
            </w:r>
          </w:p>
        </w:tc>
        <w:tc>
          <w:tcPr>
            <w:tcW w:w="1072" w:type="dxa"/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5%</w:t>
            </w:r>
          </w:p>
        </w:tc>
      </w:tr>
      <w:tr w:rsidR="00007743" w:rsidRPr="00F347AE" w:rsidTr="00594D1B">
        <w:tc>
          <w:tcPr>
            <w:tcW w:w="9493" w:type="dxa"/>
            <w:gridSpan w:val="5"/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10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4. Автономність та відповідальність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:</w:t>
            </w:r>
          </w:p>
        </w:tc>
      </w:tr>
      <w:tr w:rsidR="00007743" w:rsidRPr="00F347AE" w:rsidTr="00594D1B">
        <w:tc>
          <w:tcPr>
            <w:tcW w:w="483" w:type="dxa"/>
            <w:shd w:val="clear" w:color="auto" w:fill="auto"/>
          </w:tcPr>
          <w:p w:rsidR="00007743" w:rsidRPr="00F347AE" w:rsidRDefault="00007743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</w:t>
            </w:r>
          </w:p>
        </w:tc>
        <w:tc>
          <w:tcPr>
            <w:tcW w:w="4110" w:type="dxa"/>
            <w:shd w:val="clear" w:color="auto" w:fill="auto"/>
          </w:tcPr>
          <w:p w:rsidR="00007743" w:rsidRPr="00F347AE" w:rsidRDefault="00007743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Самостійно приймати рішення щодо оптимального шляху вирішення проблеми</w:t>
            </w:r>
          </w:p>
        </w:tc>
        <w:tc>
          <w:tcPr>
            <w:tcW w:w="1639" w:type="dxa"/>
            <w:shd w:val="clear" w:color="auto" w:fill="auto"/>
          </w:tcPr>
          <w:p w:rsidR="00007743" w:rsidRPr="00F347AE" w:rsidRDefault="00007743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Самостійна робота</w:t>
            </w:r>
          </w:p>
        </w:tc>
        <w:tc>
          <w:tcPr>
            <w:tcW w:w="2189" w:type="dxa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C2E9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Оцінка якості виконання завдання </w:t>
            </w:r>
          </w:p>
        </w:tc>
        <w:tc>
          <w:tcPr>
            <w:tcW w:w="1072" w:type="dxa"/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007743" w:rsidRPr="00F347AE" w:rsidTr="00594D1B">
        <w:tc>
          <w:tcPr>
            <w:tcW w:w="483" w:type="dxa"/>
            <w:shd w:val="clear" w:color="auto" w:fill="auto"/>
          </w:tcPr>
          <w:p w:rsidR="00007743" w:rsidRPr="00F347AE" w:rsidRDefault="00007743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4.2</w:t>
            </w:r>
          </w:p>
        </w:tc>
        <w:tc>
          <w:tcPr>
            <w:tcW w:w="4110" w:type="dxa"/>
            <w:shd w:val="clear" w:color="auto" w:fill="auto"/>
          </w:tcPr>
          <w:p w:rsidR="00007743" w:rsidRPr="00F347AE" w:rsidRDefault="00007743" w:rsidP="0059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Оцінювати результати власної роботи і нести відповідальність  за  прийняте рішення</w:t>
            </w:r>
            <w:r w:rsidRPr="00F347AE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639" w:type="dxa"/>
            <w:shd w:val="clear" w:color="auto" w:fill="auto"/>
          </w:tcPr>
          <w:p w:rsidR="00007743" w:rsidRPr="00F347AE" w:rsidRDefault="00007743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Самостійна робота</w:t>
            </w:r>
          </w:p>
        </w:tc>
        <w:tc>
          <w:tcPr>
            <w:tcW w:w="2189" w:type="dxa"/>
          </w:tcPr>
          <w:p w:rsidR="00007743" w:rsidRPr="00FC2E9B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E9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Оцінка якості виконання завдання </w:t>
            </w:r>
          </w:p>
        </w:tc>
        <w:tc>
          <w:tcPr>
            <w:tcW w:w="1072" w:type="dxa"/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</w:tbl>
    <w:p w:rsidR="00007743" w:rsidRPr="00F347AE" w:rsidRDefault="00007743" w:rsidP="00007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07743" w:rsidRPr="00F347AE" w:rsidRDefault="00007743" w:rsidP="00007743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6. </w:t>
      </w:r>
      <w:r w:rsidRPr="00F347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Співвідношення результатів навчання дисципліни із програмними результатами</w:t>
      </w:r>
      <w:r w:rsidRPr="00F34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347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навчання </w:t>
      </w:r>
    </w:p>
    <w:p w:rsidR="00007743" w:rsidRPr="00F347AE" w:rsidRDefault="00007743" w:rsidP="00007743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6"/>
          <w:szCs w:val="26"/>
          <w:lang w:val="uk-UA" w:eastAsia="ru-RU"/>
        </w:rPr>
      </w:pPr>
    </w:p>
    <w:tbl>
      <w:tblPr>
        <w:tblW w:w="9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</w:tblGrid>
      <w:tr w:rsidR="00007743" w:rsidRPr="00F347AE" w:rsidTr="00594D1B">
        <w:trPr>
          <w:cantSplit/>
          <w:trHeight w:val="1134"/>
        </w:trPr>
        <w:tc>
          <w:tcPr>
            <w:tcW w:w="4706" w:type="dxa"/>
            <w:tcBorders>
              <w:tl2br w:val="single" w:sz="4" w:space="0" w:color="auto"/>
            </w:tcBorders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Результати навчання</w:t>
            </w:r>
          </w:p>
          <w:p w:rsidR="00007743" w:rsidRPr="00F347AE" w:rsidRDefault="00007743" w:rsidP="0059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дисципліни (код) </w:t>
            </w:r>
          </w:p>
          <w:p w:rsidR="00007743" w:rsidRDefault="00007743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Програмні результати</w:t>
            </w:r>
          </w:p>
          <w:p w:rsidR="00007743" w:rsidRPr="00F347AE" w:rsidRDefault="00007743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навчання (назва)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2.4</w:t>
            </w:r>
          </w:p>
        </w:tc>
        <w:tc>
          <w:tcPr>
            <w:tcW w:w="425" w:type="dxa"/>
            <w:vAlign w:val="center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</w:t>
            </w:r>
          </w:p>
        </w:tc>
        <w:tc>
          <w:tcPr>
            <w:tcW w:w="425" w:type="dxa"/>
            <w:vAlign w:val="center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</w:t>
            </w:r>
          </w:p>
        </w:tc>
        <w:tc>
          <w:tcPr>
            <w:tcW w:w="426" w:type="dxa"/>
            <w:textDirection w:val="btLr"/>
            <w:vAlign w:val="center"/>
          </w:tcPr>
          <w:p w:rsidR="00007743" w:rsidRPr="00F347AE" w:rsidRDefault="00007743" w:rsidP="00594D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.1- 4.2</w:t>
            </w:r>
          </w:p>
        </w:tc>
      </w:tr>
      <w:tr w:rsidR="00007743" w:rsidRPr="00F347AE" w:rsidTr="00594D1B">
        <w:tc>
          <w:tcPr>
            <w:tcW w:w="4706" w:type="dxa"/>
            <w:shd w:val="clear" w:color="auto" w:fill="auto"/>
          </w:tcPr>
          <w:p w:rsidR="00007743" w:rsidRPr="00F347AE" w:rsidRDefault="0089743C" w:rsidP="0089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ПРН2. </w:t>
            </w:r>
            <w:r w:rsidR="00EE3607"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Критично осмислювати та аналізувати</w:t>
            </w:r>
            <w:r w:rsid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="00EE3607"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глобальні процеси та їх вплив на міжнародні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відносини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Pr="00F347AE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Pr="00F347AE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  <w:vAlign w:val="center"/>
          </w:tcPr>
          <w:p w:rsidR="00007743" w:rsidRPr="00F347AE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07743" w:rsidRPr="00F347AE" w:rsidTr="00594D1B">
        <w:tc>
          <w:tcPr>
            <w:tcW w:w="4706" w:type="dxa"/>
            <w:shd w:val="clear" w:color="auto" w:fill="auto"/>
          </w:tcPr>
          <w:p w:rsidR="00007743" w:rsidRPr="00F347AE" w:rsidRDefault="0089743C" w:rsidP="00EE3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ПРН3. </w:t>
            </w:r>
            <w:r w:rsidR="00EE3607"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Застосовувати сучасні наукові підходи,</w:t>
            </w:r>
            <w:r w:rsid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="00EE3607"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методології та методики для дослідження проблем</w:t>
            </w:r>
            <w:r w:rsid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="00EE3607"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міжнародних відносин та зовнішньої політики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Pr="00F347AE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Pr="00F347AE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Pr="00F347AE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Pr="00F347AE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Pr="00F347AE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  <w:vAlign w:val="center"/>
          </w:tcPr>
          <w:p w:rsidR="004D2D4A" w:rsidRPr="00F347AE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Pr="00F347AE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Pr="00F347AE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07743" w:rsidRPr="00F347AE" w:rsidTr="00594D1B">
        <w:tc>
          <w:tcPr>
            <w:tcW w:w="4706" w:type="dxa"/>
            <w:shd w:val="clear" w:color="auto" w:fill="auto"/>
          </w:tcPr>
          <w:p w:rsidR="00007743" w:rsidRPr="00D679E0" w:rsidRDefault="0089743C" w:rsidP="0089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ПРН5. </w:t>
            </w:r>
            <w:r w:rsidR="00EE3607" w:rsidRPr="00EE36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Знати і розуміти природу, форми і способи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E3607" w:rsidRPr="00EE36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реалізації міжнародних і міжкультурних</w:t>
            </w:r>
            <w:r w:rsidR="00EE36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E3607" w:rsidRPr="00EE36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комунікацій.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Pr="00F347AE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Pr="00F347AE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center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Pr="00F347AE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07743" w:rsidRPr="00F347AE" w:rsidTr="00594D1B">
        <w:tc>
          <w:tcPr>
            <w:tcW w:w="4706" w:type="dxa"/>
            <w:shd w:val="clear" w:color="auto" w:fill="auto"/>
          </w:tcPr>
          <w:p w:rsidR="00007743" w:rsidRPr="00F347AE" w:rsidRDefault="0089743C" w:rsidP="00EE3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ПРН10. </w:t>
            </w:r>
            <w:r w:rsidR="00EE3607"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Визначати, оцінювати та прогнозувати</w:t>
            </w:r>
            <w:r w:rsid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="00EE3607"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політичні, дипломатичні, </w:t>
            </w:r>
            <w:proofErr w:type="spellStart"/>
            <w:r w:rsidR="00EE3607"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безпекові</w:t>
            </w:r>
            <w:proofErr w:type="spellEnd"/>
            <w:r w:rsidR="00EE3607"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суспільні й інші</w:t>
            </w:r>
            <w:r w:rsid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="00EE3607"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ризики у сфері міжнародних відносин та глобального</w:t>
            </w:r>
            <w:r w:rsid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="00EE3607"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розвитку.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Pr="00F347AE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Pr="00F347AE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  <w:vAlign w:val="center"/>
          </w:tcPr>
          <w:p w:rsidR="00007743" w:rsidRPr="00F347AE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07743" w:rsidRPr="00F347AE" w:rsidTr="00594D1B">
        <w:tc>
          <w:tcPr>
            <w:tcW w:w="4706" w:type="dxa"/>
            <w:shd w:val="clear" w:color="auto" w:fill="auto"/>
          </w:tcPr>
          <w:p w:rsidR="00007743" w:rsidRPr="00F347AE" w:rsidRDefault="0089743C" w:rsidP="0089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ПРН12. </w:t>
            </w:r>
            <w:r w:rsidR="00EE3607"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Готувати аналітичні довідки, звіти та інші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="00EE3607"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документи про стан міжнародних відносин,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="00EE3607"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зовнішньої політики, суспільних комунікацій та</w:t>
            </w:r>
            <w:r w:rsid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="00EE3607"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регіональних студій.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Pr="00F347AE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center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Pr="00F347AE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</w:tcPr>
          <w:p w:rsidR="00007743" w:rsidRPr="00F347AE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Pr="00F347AE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Pr="00F347AE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6" w:type="dxa"/>
          </w:tcPr>
          <w:p w:rsidR="00007743" w:rsidRDefault="00007743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Pr="00F347AE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</w:tr>
      <w:tr w:rsidR="00EE3607" w:rsidRPr="00F347AE" w:rsidTr="00594D1B">
        <w:tc>
          <w:tcPr>
            <w:tcW w:w="4706" w:type="dxa"/>
            <w:shd w:val="clear" w:color="auto" w:fill="auto"/>
          </w:tcPr>
          <w:p w:rsidR="00EE3607" w:rsidRPr="00EE3607" w:rsidRDefault="0089743C" w:rsidP="00EE3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ПРН13. </w:t>
            </w:r>
            <w:r w:rsidR="00EE3607"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Розробляти та реалізовувати проекти</w:t>
            </w:r>
            <w:r w:rsid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="00EE3607"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прикладних досліджень міжнародних відносин,</w:t>
            </w:r>
            <w:r w:rsid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="00EE3607"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зовнішньої та світової політики.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EE3607" w:rsidRPr="00F347AE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EE3607" w:rsidRPr="00F347AE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E3607" w:rsidRPr="00F347AE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E3607" w:rsidRPr="00F347AE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EE3607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Pr="00F347AE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  <w:vAlign w:val="center"/>
          </w:tcPr>
          <w:p w:rsidR="00EE3607" w:rsidRPr="00F347AE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:rsidR="00EE3607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Pr="00F347AE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</w:tcPr>
          <w:p w:rsidR="00EE3607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Pr="00F347AE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</w:tcPr>
          <w:p w:rsidR="00EE3607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</w:tcPr>
          <w:p w:rsidR="00EE3607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6" w:type="dxa"/>
          </w:tcPr>
          <w:p w:rsidR="00EE3607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</w:tr>
      <w:tr w:rsidR="00EE3607" w:rsidRPr="00F347AE" w:rsidTr="00594D1B">
        <w:tc>
          <w:tcPr>
            <w:tcW w:w="4706" w:type="dxa"/>
            <w:shd w:val="clear" w:color="auto" w:fill="auto"/>
          </w:tcPr>
          <w:p w:rsidR="00EE3607" w:rsidRPr="00EE3607" w:rsidRDefault="0089743C" w:rsidP="00EE3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ПРН15. </w:t>
            </w:r>
            <w:r w:rsidR="00EE3607"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Формулювати задачі моделювання,</w:t>
            </w:r>
            <w:r w:rsid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="00EE3607"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створювати і досліджувати моделі об’єктів і процесів</w:t>
            </w:r>
            <w:r w:rsid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="00EE3607"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міжнародних відносин, зовнішньої політики,</w:t>
            </w:r>
            <w:r w:rsid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="00EE3607"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суспільних комунікацій та регіональних студій.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EE3607" w:rsidRPr="00F347AE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EE3607" w:rsidRPr="00F347AE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E3607" w:rsidRPr="00F347AE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E3607" w:rsidRPr="00F347AE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EE3607" w:rsidRPr="00F347AE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center"/>
          </w:tcPr>
          <w:p w:rsidR="00EE3607" w:rsidRPr="00F347AE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:rsidR="00EE3607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Pr="00F347AE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</w:tcPr>
          <w:p w:rsidR="00EE3607" w:rsidRPr="00F347AE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:rsidR="00EE3607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</w:tcPr>
          <w:p w:rsidR="00EE3607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6" w:type="dxa"/>
          </w:tcPr>
          <w:p w:rsidR="00EE3607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</w:tr>
      <w:tr w:rsidR="004D2D4A" w:rsidRPr="00F347AE" w:rsidTr="00B611FE">
        <w:tc>
          <w:tcPr>
            <w:tcW w:w="4706" w:type="dxa"/>
            <w:shd w:val="clear" w:color="auto" w:fill="auto"/>
          </w:tcPr>
          <w:p w:rsidR="004D2D4A" w:rsidRPr="00EE3607" w:rsidRDefault="0089743C" w:rsidP="00EE3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ПРН16. </w:t>
            </w:r>
            <w:r w:rsidR="004D2D4A"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Планувати та здійснювати дослідження</w:t>
            </w:r>
            <w:r w:rsidR="004D2D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="004D2D4A"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проблем міжнародних відносин, суспільних</w:t>
            </w:r>
          </w:p>
          <w:p w:rsidR="004D2D4A" w:rsidRPr="00EE3607" w:rsidRDefault="004D2D4A" w:rsidP="00EE3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комунікацій та регіональних студій з використанням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сучасних наукових методів, збирати та аналізувати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необхідну інформацію, аргументувати висновки,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>презентувати результати.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4D2D4A" w:rsidRDefault="004D2D4A" w:rsidP="004D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4D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4D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4D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Pr="00F347AE" w:rsidRDefault="004D2D4A" w:rsidP="004D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4D2D4A" w:rsidRDefault="004D2D4A" w:rsidP="004D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4D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4D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4D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Pr="00F347AE" w:rsidRDefault="004D2D4A" w:rsidP="004D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4D2D4A" w:rsidRDefault="004D2D4A" w:rsidP="004D2D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4D2D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4D2D4A">
            <w:pPr>
              <w:jc w:val="center"/>
            </w:pPr>
            <w:r w:rsidRPr="004B6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4D2D4A" w:rsidRDefault="004D2D4A" w:rsidP="004D2D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4D2D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4D2D4A">
            <w:pPr>
              <w:jc w:val="center"/>
            </w:pPr>
            <w:r w:rsidRPr="004B6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4D2D4A" w:rsidRDefault="004D2D4A" w:rsidP="004D2D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4D2D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4D2D4A">
            <w:pPr>
              <w:jc w:val="center"/>
            </w:pPr>
            <w:r w:rsidRPr="004B6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</w:tcPr>
          <w:p w:rsidR="004D2D4A" w:rsidRDefault="004D2D4A" w:rsidP="004D2D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4D2D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4D2D4A">
            <w:pPr>
              <w:jc w:val="center"/>
            </w:pPr>
            <w:r w:rsidRPr="004B6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</w:tcPr>
          <w:p w:rsidR="004D2D4A" w:rsidRDefault="004D2D4A" w:rsidP="004D2D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4D2D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4D2D4A">
            <w:pPr>
              <w:jc w:val="center"/>
            </w:pPr>
            <w:r w:rsidRPr="004B6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</w:tcPr>
          <w:p w:rsidR="004D2D4A" w:rsidRDefault="004D2D4A" w:rsidP="004D2D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4D2D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4D2D4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</w:tcPr>
          <w:p w:rsidR="004D2D4A" w:rsidRDefault="004D2D4A" w:rsidP="004D2D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4D2D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4D2D4A">
            <w:pPr>
              <w:jc w:val="center"/>
            </w:pPr>
            <w:r w:rsidRPr="004B6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</w:tcPr>
          <w:p w:rsidR="004D2D4A" w:rsidRDefault="004D2D4A" w:rsidP="004D2D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4D2D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4D2D4A">
            <w:pPr>
              <w:jc w:val="center"/>
            </w:pPr>
            <w:r w:rsidRPr="004B6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6" w:type="dxa"/>
          </w:tcPr>
          <w:p w:rsidR="004D2D4A" w:rsidRDefault="004D2D4A" w:rsidP="004D2D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4D2D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D2D4A" w:rsidRDefault="004D2D4A" w:rsidP="004D2D4A">
            <w:pPr>
              <w:jc w:val="center"/>
            </w:pPr>
            <w:r w:rsidRPr="004B6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</w:tr>
      <w:tr w:rsidR="00EE3607" w:rsidRPr="00F347AE" w:rsidTr="00594D1B">
        <w:tc>
          <w:tcPr>
            <w:tcW w:w="4706" w:type="dxa"/>
            <w:shd w:val="clear" w:color="auto" w:fill="auto"/>
          </w:tcPr>
          <w:p w:rsidR="00EE3607" w:rsidRPr="00EE3607" w:rsidRDefault="0089743C" w:rsidP="00EE3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 xml:space="preserve">ПРН17. </w:t>
            </w:r>
            <w:r w:rsidR="00EE3607"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Оцінювати міжнародні події, процеси в</w:t>
            </w:r>
            <w:r w:rsid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="00EE3607"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сфері міжнародного співробітництва та міжнародної</w:t>
            </w:r>
            <w:r w:rsid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="00EE3607"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безпеки, стан взаємодії та конфлікту в міжнародних</w:t>
            </w:r>
            <w:r w:rsid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="00EE3607"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системах.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EE3607" w:rsidRPr="00F347AE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EE3607" w:rsidRPr="00F347AE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E3607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A90589" w:rsidRPr="00F347AE" w:rsidRDefault="00A90589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E3607" w:rsidRPr="00F347AE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EE3607" w:rsidRPr="00F347AE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center"/>
          </w:tcPr>
          <w:p w:rsidR="00EE3607" w:rsidRPr="00F347AE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:rsidR="00EE3607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A90589" w:rsidRPr="00F347AE" w:rsidRDefault="00A90589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</w:tcPr>
          <w:p w:rsidR="00EE3607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A90589" w:rsidRPr="00F347AE" w:rsidRDefault="00A90589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</w:tcPr>
          <w:p w:rsidR="00EE3607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:rsidR="00EE3607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</w:tcPr>
          <w:p w:rsidR="00EE3607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EE3607" w:rsidRPr="00F347AE" w:rsidTr="00594D1B">
        <w:tc>
          <w:tcPr>
            <w:tcW w:w="4706" w:type="dxa"/>
            <w:shd w:val="clear" w:color="auto" w:fill="auto"/>
          </w:tcPr>
          <w:p w:rsidR="00EE3607" w:rsidRPr="00EE3607" w:rsidRDefault="0089743C" w:rsidP="0089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ПРН22. </w:t>
            </w:r>
            <w:r w:rsidR="00EE3607" w:rsidRPr="00AC4E1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Брати участь у професійній дискусії у сфері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="00EE3607" w:rsidRPr="00AC4E1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міжнародних відносин, зовнішньої політики,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="00EE3607" w:rsidRPr="00AC4E1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суспільних комунікацій та регіональних студій,</w:t>
            </w:r>
            <w:r w:rsid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="00EE3607" w:rsidRPr="00AC4E1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поважати опонентів і їхню точку зору, доносити до фахівців та широкого загалу інформацію, ідеї,</w:t>
            </w:r>
            <w:r w:rsid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="00EE3607" w:rsidRPr="00AC4E1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проблеми,</w:t>
            </w:r>
            <w:r w:rsid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="00EE3607"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рішення та власний досвід з фахових</w:t>
            </w:r>
            <w:r w:rsid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="00EE3607" w:rsidRPr="00EE360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проблем.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EE3607" w:rsidRPr="00F347AE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EE3607" w:rsidRPr="00F347AE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E3607" w:rsidRPr="00F347AE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E3607" w:rsidRPr="00F347AE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EE3607" w:rsidRPr="00F347AE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center"/>
          </w:tcPr>
          <w:p w:rsidR="00EE3607" w:rsidRPr="00F347AE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:rsidR="00EE3607" w:rsidRPr="00F347AE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:rsidR="00EE3607" w:rsidRPr="00F347AE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:rsidR="00EE3607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A90589" w:rsidRDefault="00A90589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</w:tcPr>
          <w:p w:rsidR="00EE3607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A90589" w:rsidRDefault="00A90589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6" w:type="dxa"/>
          </w:tcPr>
          <w:p w:rsidR="00EE3607" w:rsidRDefault="00EE3607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A90589" w:rsidRDefault="00A90589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</w:tr>
    </w:tbl>
    <w:p w:rsidR="00007743" w:rsidRPr="00F347AE" w:rsidRDefault="00007743" w:rsidP="00007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07743" w:rsidRDefault="00007743" w:rsidP="00007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7. </w:t>
      </w:r>
      <w:r w:rsidRPr="00F347A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Схема формування оцінки: </w:t>
      </w:r>
    </w:p>
    <w:p w:rsidR="00007743" w:rsidRDefault="00007743" w:rsidP="00007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007743" w:rsidRDefault="00007743" w:rsidP="00007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B18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Форми оцінювання студентів. </w:t>
      </w: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Робота студентів впродовж семестру оцінюється за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10</w:t>
      </w: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0-бальною шкалою, що включає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відповіді на семінарських</w:t>
      </w:r>
      <w:r w:rsidRPr="00CA39C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занятт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ях (участі у дискусії), </w:t>
      </w: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виконання практичних завдань для самостійної роботи, написання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модульних контрольних</w:t>
      </w: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роб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</w:t>
      </w: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виконання  кейс-проекту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 підсумковий контроль знань (іспит).</w:t>
      </w:r>
    </w:p>
    <w:p w:rsidR="00007743" w:rsidRPr="00270C89" w:rsidRDefault="00007743" w:rsidP="00007743">
      <w:pPr>
        <w:widowControl w:val="0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270C89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- семестрове оцінювання: </w:t>
      </w:r>
    </w:p>
    <w:p w:rsidR="00007743" w:rsidRPr="00270C89" w:rsidRDefault="00007743" w:rsidP="00007743">
      <w:pPr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1. модульна контрольна </w:t>
      </w:r>
      <w:proofErr w:type="spellStart"/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контрольна</w:t>
      </w:r>
      <w:proofErr w:type="spellEnd"/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робота  (20</w:t>
      </w:r>
      <w:r w:rsidRPr="00270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балів/10</w:t>
      </w:r>
      <w:r w:rsidRPr="00270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балів</w:t>
      </w:r>
      <w:proofErr w:type="spellEnd"/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). </w:t>
      </w:r>
    </w:p>
    <w:p w:rsidR="00007743" w:rsidRPr="00270C89" w:rsidRDefault="00007743" w:rsidP="00007743">
      <w:pPr>
        <w:spacing w:before="20"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2. звіти за планом на семінарських заняттях (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30 балів/2</w:t>
      </w:r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5 </w:t>
      </w:r>
      <w:proofErr w:type="spellStart"/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балів</w:t>
      </w:r>
      <w:proofErr w:type="spellEnd"/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).         </w:t>
      </w:r>
    </w:p>
    <w:p w:rsidR="00007743" w:rsidRPr="00270C89" w:rsidRDefault="00007743" w:rsidP="00007743">
      <w:pPr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3. </w:t>
      </w:r>
      <w:r w:rsidRPr="00270C8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кейс-проект (</w:t>
      </w:r>
      <w:r w:rsidRPr="00270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 </w:t>
      </w:r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балів/</w:t>
      </w:r>
      <w:r w:rsidRPr="00270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 </w:t>
      </w:r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балів).         </w:t>
      </w:r>
    </w:p>
    <w:p w:rsidR="00007743" w:rsidRPr="00270C89" w:rsidRDefault="00007743" w:rsidP="00007743">
      <w:pPr>
        <w:spacing w:before="2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70C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</w:t>
      </w:r>
      <w:r w:rsidRPr="00270C89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підсумкове оцінювання</w:t>
      </w:r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:</w:t>
      </w:r>
    </w:p>
    <w:p w:rsidR="00007743" w:rsidRPr="00270C89" w:rsidRDefault="00007743" w:rsidP="00007743">
      <w:pPr>
        <w:numPr>
          <w:ilvl w:val="0"/>
          <w:numId w:val="2"/>
        </w:numPr>
        <w:spacing w:before="20"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форма оцінювання –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іспит</w:t>
      </w:r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;</w:t>
      </w:r>
    </w:p>
    <w:p w:rsidR="00007743" w:rsidRDefault="00007743" w:rsidP="00007743">
      <w:pPr>
        <w:numPr>
          <w:ilvl w:val="0"/>
          <w:numId w:val="2"/>
        </w:numPr>
        <w:spacing w:before="20"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максимальна кількість балів які мо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жуть бути отримані студентом – 40 балів.</w:t>
      </w:r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007743" w:rsidRPr="00270C89" w:rsidRDefault="00007743" w:rsidP="00007743">
      <w:pPr>
        <w:spacing w:before="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07743" w:rsidRPr="00282021" w:rsidRDefault="00007743" w:rsidP="00007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820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При простому розрахунку отримаємо:</w:t>
      </w:r>
    </w:p>
    <w:p w:rsidR="00007743" w:rsidRPr="00F347AE" w:rsidRDefault="00007743" w:rsidP="0000774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2620"/>
        <w:gridCol w:w="2484"/>
        <w:gridCol w:w="1258"/>
        <w:gridCol w:w="1827"/>
      </w:tblGrid>
      <w:tr w:rsidR="00007743" w:rsidRPr="00BC25E2" w:rsidTr="00594D1B">
        <w:tc>
          <w:tcPr>
            <w:tcW w:w="1384" w:type="dxa"/>
            <w:tcBorders>
              <w:bottom w:val="double" w:sz="4" w:space="0" w:color="000000"/>
            </w:tcBorders>
            <w:shd w:val="clear" w:color="auto" w:fill="auto"/>
          </w:tcPr>
          <w:p w:rsidR="00007743" w:rsidRPr="00F347AE" w:rsidRDefault="00007743" w:rsidP="00594D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bottom w:val="double" w:sz="4" w:space="0" w:color="000000"/>
            </w:tcBorders>
            <w:shd w:val="clear" w:color="auto" w:fill="auto"/>
          </w:tcPr>
          <w:p w:rsidR="00007743" w:rsidRPr="00F347AE" w:rsidRDefault="00007743" w:rsidP="00594D1B">
            <w:pPr>
              <w:spacing w:before="120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ЗМ1</w:t>
            </w:r>
          </w:p>
        </w:tc>
        <w:tc>
          <w:tcPr>
            <w:tcW w:w="2552" w:type="dxa"/>
            <w:tcBorders>
              <w:bottom w:val="double" w:sz="4" w:space="0" w:color="000000"/>
            </w:tcBorders>
            <w:shd w:val="clear" w:color="auto" w:fill="auto"/>
          </w:tcPr>
          <w:p w:rsidR="00007743" w:rsidRPr="00F347AE" w:rsidRDefault="00007743" w:rsidP="00594D1B">
            <w:pPr>
              <w:spacing w:before="120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ЗМ2</w:t>
            </w:r>
          </w:p>
        </w:tc>
        <w:tc>
          <w:tcPr>
            <w:tcW w:w="1276" w:type="dxa"/>
            <w:tcBorders>
              <w:bottom w:val="double" w:sz="4" w:space="0" w:color="000000"/>
            </w:tcBorders>
            <w:shd w:val="clear" w:color="auto" w:fill="auto"/>
          </w:tcPr>
          <w:p w:rsidR="00007743" w:rsidRPr="00F347AE" w:rsidRDefault="00007743" w:rsidP="00594D1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842" w:type="dxa"/>
            <w:tcBorders>
              <w:bottom w:val="double" w:sz="4" w:space="0" w:color="000000"/>
            </w:tcBorders>
            <w:shd w:val="clear" w:color="auto" w:fill="auto"/>
          </w:tcPr>
          <w:p w:rsidR="00007743" w:rsidRPr="00F347AE" w:rsidRDefault="00007743" w:rsidP="00594D1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Підсумкова оцінка</w:t>
            </w:r>
          </w:p>
        </w:tc>
      </w:tr>
      <w:tr w:rsidR="00007743" w:rsidRPr="00BC25E2" w:rsidTr="00594D1B">
        <w:tc>
          <w:tcPr>
            <w:tcW w:w="1384" w:type="dxa"/>
            <w:tcBorders>
              <w:top w:val="double" w:sz="4" w:space="0" w:color="000000"/>
            </w:tcBorders>
            <w:shd w:val="clear" w:color="auto" w:fill="auto"/>
          </w:tcPr>
          <w:p w:rsidR="00007743" w:rsidRPr="00F347AE" w:rsidRDefault="00007743" w:rsidP="00594D1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Мінімум</w:t>
            </w:r>
          </w:p>
        </w:tc>
        <w:tc>
          <w:tcPr>
            <w:tcW w:w="2693" w:type="dxa"/>
            <w:tcBorders>
              <w:top w:val="double" w:sz="4" w:space="0" w:color="000000"/>
            </w:tcBorders>
            <w:shd w:val="clear" w:color="auto" w:fill="auto"/>
          </w:tcPr>
          <w:p w:rsidR="00007743" w:rsidRPr="00BC25E2" w:rsidRDefault="00007743" w:rsidP="00594D1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5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552" w:type="dxa"/>
            <w:tcBorders>
              <w:top w:val="double" w:sz="4" w:space="0" w:color="000000"/>
            </w:tcBorders>
            <w:shd w:val="clear" w:color="auto" w:fill="auto"/>
          </w:tcPr>
          <w:p w:rsidR="00007743" w:rsidRPr="00BC25E2" w:rsidRDefault="00007743" w:rsidP="00594D1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276" w:type="dxa"/>
            <w:tcBorders>
              <w:top w:val="double" w:sz="4" w:space="0" w:color="000000"/>
            </w:tcBorders>
            <w:shd w:val="clear" w:color="auto" w:fill="auto"/>
          </w:tcPr>
          <w:p w:rsidR="00007743" w:rsidRPr="00F347AE" w:rsidRDefault="00007743" w:rsidP="00594D1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842" w:type="dxa"/>
            <w:tcBorders>
              <w:top w:val="double" w:sz="4" w:space="0" w:color="000000"/>
            </w:tcBorders>
            <w:shd w:val="clear" w:color="auto" w:fill="auto"/>
          </w:tcPr>
          <w:p w:rsidR="00007743" w:rsidRPr="00F347AE" w:rsidRDefault="00007743" w:rsidP="00594D1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</w:tr>
      <w:tr w:rsidR="00007743" w:rsidRPr="00BC25E2" w:rsidTr="00594D1B">
        <w:tc>
          <w:tcPr>
            <w:tcW w:w="1384" w:type="dxa"/>
            <w:shd w:val="clear" w:color="auto" w:fill="auto"/>
          </w:tcPr>
          <w:p w:rsidR="00007743" w:rsidRPr="00F347AE" w:rsidRDefault="00007743" w:rsidP="00594D1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Максимум</w:t>
            </w:r>
          </w:p>
        </w:tc>
        <w:tc>
          <w:tcPr>
            <w:tcW w:w="2693" w:type="dxa"/>
            <w:shd w:val="clear" w:color="auto" w:fill="auto"/>
          </w:tcPr>
          <w:p w:rsidR="00007743" w:rsidRPr="00BC25E2" w:rsidRDefault="00007743" w:rsidP="00594D1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552" w:type="dxa"/>
            <w:shd w:val="clear" w:color="auto" w:fill="auto"/>
          </w:tcPr>
          <w:p w:rsidR="00007743" w:rsidRPr="00BC25E2" w:rsidRDefault="00007743" w:rsidP="00594D1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007743" w:rsidRPr="00F347AE" w:rsidRDefault="00007743" w:rsidP="00594D1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842" w:type="dxa"/>
            <w:shd w:val="clear" w:color="auto" w:fill="auto"/>
          </w:tcPr>
          <w:p w:rsidR="00007743" w:rsidRPr="00F347AE" w:rsidRDefault="00007743" w:rsidP="00594D1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007743" w:rsidRPr="00F347AE" w:rsidRDefault="00007743" w:rsidP="00007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07743" w:rsidRPr="00F347AE" w:rsidRDefault="00007743" w:rsidP="00007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Студент допускається до екзамену за умови виконання всіх передбачених планом робіт.</w:t>
      </w:r>
    </w:p>
    <w:p w:rsidR="00007743" w:rsidRPr="00F347AE" w:rsidRDefault="00007743" w:rsidP="00007743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Студент не допускається до екзамену, якщо під час семестру набрав менше ніж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</w:t>
      </w: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0 балів. </w:t>
      </w:r>
    </w:p>
    <w:p w:rsidR="00007743" w:rsidRPr="00F347AE" w:rsidRDefault="00007743" w:rsidP="00007743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07743" w:rsidRPr="00F347AE" w:rsidRDefault="00007743" w:rsidP="00007743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F347A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Шкала відповідності оцінок</w:t>
      </w:r>
    </w:p>
    <w:p w:rsidR="00007743" w:rsidRPr="00F347AE" w:rsidRDefault="00007743" w:rsidP="00007743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val="uk-UA"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4"/>
        <w:gridCol w:w="2278"/>
      </w:tblGrid>
      <w:tr w:rsidR="00007743" w:rsidRPr="00F347AE" w:rsidTr="00594D1B">
        <w:trPr>
          <w:cantSplit/>
          <w:jc w:val="center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43" w:rsidRPr="00F347AE" w:rsidRDefault="00007743" w:rsidP="00594D1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lastRenderedPageBreak/>
              <w:t xml:space="preserve">Відмінно / </w:t>
            </w:r>
            <w:proofErr w:type="spellStart"/>
            <w:r w:rsidRPr="00F347A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Excellent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43" w:rsidRPr="00F347AE" w:rsidRDefault="00007743" w:rsidP="00594D1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90-100</w:t>
            </w:r>
          </w:p>
        </w:tc>
      </w:tr>
      <w:tr w:rsidR="00007743" w:rsidRPr="00F347AE" w:rsidTr="00594D1B">
        <w:trPr>
          <w:cantSplit/>
          <w:jc w:val="center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43" w:rsidRPr="00F347AE" w:rsidRDefault="00007743" w:rsidP="00594D1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Добре / </w:t>
            </w:r>
            <w:proofErr w:type="spellStart"/>
            <w:r w:rsidRPr="00F347A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Good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43" w:rsidRPr="00F347AE" w:rsidRDefault="00007743" w:rsidP="00594D1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75-89</w:t>
            </w:r>
          </w:p>
        </w:tc>
      </w:tr>
      <w:tr w:rsidR="00007743" w:rsidRPr="00F347AE" w:rsidTr="00594D1B">
        <w:trPr>
          <w:cantSplit/>
          <w:jc w:val="center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43" w:rsidRPr="00F347AE" w:rsidRDefault="00007743" w:rsidP="00594D1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Задовільно / </w:t>
            </w:r>
            <w:proofErr w:type="spellStart"/>
            <w:r w:rsidRPr="00F347A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Satisfactory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43" w:rsidRPr="00F347AE" w:rsidRDefault="00007743" w:rsidP="00594D1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60-74</w:t>
            </w:r>
          </w:p>
        </w:tc>
      </w:tr>
      <w:tr w:rsidR="00007743" w:rsidRPr="00F347AE" w:rsidTr="00594D1B">
        <w:trPr>
          <w:cantSplit/>
          <w:jc w:val="center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43" w:rsidRPr="00F347AE" w:rsidRDefault="00007743" w:rsidP="00594D1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Незадовільно / </w:t>
            </w:r>
            <w:proofErr w:type="spellStart"/>
            <w:r w:rsidRPr="00F347A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Fail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43" w:rsidRPr="00F347AE" w:rsidRDefault="00007743" w:rsidP="00594D1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0-59</w:t>
            </w:r>
          </w:p>
        </w:tc>
      </w:tr>
    </w:tbl>
    <w:p w:rsidR="00007743" w:rsidRDefault="00007743" w:rsidP="00007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156A7" w:rsidRDefault="001156A7" w:rsidP="00007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156A7" w:rsidRDefault="001156A7" w:rsidP="00007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156A7" w:rsidRDefault="001156A7" w:rsidP="00007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156A7" w:rsidRDefault="001156A7" w:rsidP="00007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007743" w:rsidRPr="00721908" w:rsidRDefault="00007743" w:rsidP="00007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8. </w:t>
      </w:r>
      <w:r w:rsidRPr="0072190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СТРУКТУРА  НАВЧАЛЬНОЇ  ДИСЦИПЛІНИ</w:t>
      </w:r>
    </w:p>
    <w:p w:rsidR="00007743" w:rsidRPr="00721908" w:rsidRDefault="00007743" w:rsidP="00007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2190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ТЕМАТИЧНИЙ  ПЛАН  ЛЕКЦІЙ  І  ПРАКТИЧНИХ  ЗАНЯТЬ</w:t>
      </w:r>
    </w:p>
    <w:p w:rsidR="00007743" w:rsidRPr="00721908" w:rsidRDefault="00007743" w:rsidP="00007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548"/>
        <w:gridCol w:w="709"/>
        <w:gridCol w:w="141"/>
        <w:gridCol w:w="993"/>
        <w:gridCol w:w="708"/>
      </w:tblGrid>
      <w:tr w:rsidR="00007743" w:rsidRPr="00721908" w:rsidTr="00594D1B">
        <w:trPr>
          <w:cantSplit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 п/</w:t>
            </w:r>
            <w:proofErr w:type="spellStart"/>
            <w:r w:rsidRPr="007219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</w:t>
            </w:r>
            <w:proofErr w:type="spellEnd"/>
          </w:p>
        </w:tc>
        <w:tc>
          <w:tcPr>
            <w:tcW w:w="65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Назва  лекції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Кількість годин</w:t>
            </w:r>
          </w:p>
        </w:tc>
      </w:tr>
      <w:tr w:rsidR="00007743" w:rsidRPr="00721908" w:rsidTr="00594D1B">
        <w:trPr>
          <w:cantSplit/>
        </w:trPr>
        <w:tc>
          <w:tcPr>
            <w:tcW w:w="648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6548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ind w:left="-57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лекції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tcMar>
              <w:left w:w="57" w:type="dxa"/>
              <w:right w:w="113" w:type="dxa"/>
            </w:tcMar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практичні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7743" w:rsidRPr="00721908" w:rsidRDefault="00007743" w:rsidP="00594D1B">
            <w:pPr>
              <w:spacing w:before="80" w:after="40" w:line="20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b/>
                <w:spacing w:val="-8"/>
                <w:lang w:val="uk-UA" w:eastAsia="ru-RU"/>
              </w:rPr>
              <w:t>С/Р</w:t>
            </w:r>
          </w:p>
        </w:tc>
      </w:tr>
      <w:tr w:rsidR="00007743" w:rsidRPr="00721908" w:rsidTr="00594D1B">
        <w:tc>
          <w:tcPr>
            <w:tcW w:w="9747" w:type="dxa"/>
            <w:gridSpan w:val="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743" w:rsidRPr="00721908" w:rsidRDefault="00007743" w:rsidP="00594D1B">
            <w:pPr>
              <w:spacing w:before="80" w:after="40" w:line="19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Змістовий модуль 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</w:t>
            </w:r>
            <w:r w:rsidRPr="007F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сновні виміри 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нцепції міжнародної</w:t>
            </w:r>
            <w:r w:rsidRPr="007F0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комунікації для розвитку</w:t>
            </w:r>
          </w:p>
        </w:tc>
      </w:tr>
      <w:tr w:rsidR="00007743" w:rsidRPr="00721908" w:rsidTr="00594D1B">
        <w:trPr>
          <w:cantSplit/>
        </w:trPr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548" w:type="dxa"/>
            <w:tcBorders>
              <w:top w:val="single" w:sz="2" w:space="0" w:color="auto"/>
            </w:tcBorders>
          </w:tcPr>
          <w:p w:rsidR="00007743" w:rsidRPr="00721908" w:rsidRDefault="00007743" w:rsidP="00594D1B">
            <w:pPr>
              <w:spacing w:before="40" w:after="40" w:line="216" w:lineRule="auto"/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Тема 1. </w:t>
            </w:r>
            <w:r w:rsidRPr="00326F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Історія та сучасні тенденції міжнародної комунікації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50" w:type="dxa"/>
            <w:gridSpan w:val="2"/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007743" w:rsidRPr="00721908" w:rsidTr="00594D1B">
        <w:trPr>
          <w:cantSplit/>
        </w:trPr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548" w:type="dxa"/>
          </w:tcPr>
          <w:p w:rsidR="00007743" w:rsidRPr="00721908" w:rsidRDefault="00007743" w:rsidP="00594D1B">
            <w:pPr>
              <w:spacing w:before="80" w:after="40" w:line="216" w:lineRule="auto"/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Тема 2. </w:t>
            </w:r>
            <w:r w:rsidRPr="009462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Завдання, цілі та інструменти здійснення міжнародної комунікації для розвитку</w:t>
            </w:r>
          </w:p>
        </w:tc>
        <w:tc>
          <w:tcPr>
            <w:tcW w:w="850" w:type="dxa"/>
            <w:gridSpan w:val="2"/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007743" w:rsidRPr="00721908" w:rsidTr="00594D1B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548" w:type="dxa"/>
          </w:tcPr>
          <w:p w:rsidR="00007743" w:rsidRPr="00AB2565" w:rsidRDefault="00007743" w:rsidP="00594D1B">
            <w:pPr>
              <w:spacing w:before="80" w:after="40" w:line="216" w:lineRule="auto"/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Тема 3. </w:t>
            </w:r>
            <w:r w:rsidRPr="00AB25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Особливості діяльності суб'єктів міжнародної комунікації</w:t>
            </w:r>
          </w:p>
        </w:tc>
        <w:tc>
          <w:tcPr>
            <w:tcW w:w="850" w:type="dxa"/>
            <w:gridSpan w:val="2"/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007743" w:rsidRPr="00721908" w:rsidTr="00594D1B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548" w:type="dxa"/>
          </w:tcPr>
          <w:p w:rsidR="00007743" w:rsidRPr="00AB2565" w:rsidRDefault="00007743" w:rsidP="00594D1B">
            <w:pPr>
              <w:spacing w:before="80" w:after="40" w:line="216" w:lineRule="auto"/>
              <w:ind w:left="794" w:hanging="7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B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Тема 4. </w:t>
            </w:r>
            <w:r w:rsidRPr="00AB25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Організаційні та нормативно-правові засади розвитку міжнародної комунікації</w:t>
            </w:r>
          </w:p>
        </w:tc>
        <w:tc>
          <w:tcPr>
            <w:tcW w:w="850" w:type="dxa"/>
            <w:gridSpan w:val="2"/>
            <w:vAlign w:val="center"/>
          </w:tcPr>
          <w:p w:rsidR="00007743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007743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743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007743" w:rsidRPr="00721908" w:rsidTr="00594D1B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6548" w:type="dxa"/>
          </w:tcPr>
          <w:p w:rsidR="00007743" w:rsidRPr="00721908" w:rsidRDefault="00007743" w:rsidP="00594D1B">
            <w:pPr>
              <w:spacing w:before="80" w:after="40" w:line="216" w:lineRule="auto"/>
              <w:ind w:left="794" w:hanging="79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Модульна контрольна робота 1</w:t>
            </w:r>
          </w:p>
        </w:tc>
        <w:tc>
          <w:tcPr>
            <w:tcW w:w="850" w:type="dxa"/>
            <w:gridSpan w:val="2"/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007743" w:rsidRPr="00721908" w:rsidTr="00594D1B">
        <w:tc>
          <w:tcPr>
            <w:tcW w:w="9747" w:type="dxa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743" w:rsidRPr="00721908" w:rsidRDefault="00007743" w:rsidP="00594D1B">
            <w:pPr>
              <w:spacing w:before="80" w:after="8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Змістовий модуль 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Роль міжнародної</w:t>
            </w:r>
            <w:r w:rsidRPr="0032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комунікаці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ї</w:t>
            </w:r>
            <w:r w:rsidRPr="0032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у глобальному  розвитку людства: практичний вимір.</w:t>
            </w:r>
          </w:p>
        </w:tc>
      </w:tr>
      <w:tr w:rsidR="00007743" w:rsidRPr="00721908" w:rsidTr="00594D1B">
        <w:tc>
          <w:tcPr>
            <w:tcW w:w="64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548" w:type="dxa"/>
            <w:tcBorders>
              <w:top w:val="single" w:sz="4" w:space="0" w:color="auto"/>
            </w:tcBorders>
          </w:tcPr>
          <w:p w:rsidR="00007743" w:rsidRPr="00721908" w:rsidRDefault="00007743" w:rsidP="00594D1B">
            <w:pPr>
              <w:spacing w:before="80" w:after="40" w:line="216" w:lineRule="auto"/>
              <w:ind w:left="792" w:hanging="79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5</w:t>
            </w:r>
            <w:r w:rsidRPr="0072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. </w:t>
            </w:r>
            <w:r w:rsidRPr="00326F2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Глобальні проблеми людства на сучасному етапі розвитку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007743" w:rsidRPr="00721908" w:rsidTr="00594D1B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548" w:type="dxa"/>
          </w:tcPr>
          <w:p w:rsidR="00007743" w:rsidRPr="00721908" w:rsidRDefault="00007743" w:rsidP="00594D1B">
            <w:pPr>
              <w:spacing w:before="80" w:after="40" w:line="216" w:lineRule="auto"/>
              <w:ind w:left="792" w:hanging="79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6</w:t>
            </w:r>
            <w:r w:rsidRPr="0072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. </w:t>
            </w:r>
            <w:r w:rsidRPr="00AE30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Міжнародна комунікація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задля реалізації цілей </w:t>
            </w:r>
            <w:r w:rsidRPr="00AE30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сталого розвитку</w:t>
            </w:r>
          </w:p>
        </w:tc>
        <w:tc>
          <w:tcPr>
            <w:tcW w:w="850" w:type="dxa"/>
            <w:gridSpan w:val="2"/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007743" w:rsidRPr="00721908" w:rsidTr="00594D1B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548" w:type="dxa"/>
          </w:tcPr>
          <w:p w:rsidR="00007743" w:rsidRPr="00721908" w:rsidRDefault="00007743" w:rsidP="00594D1B">
            <w:pPr>
              <w:spacing w:before="80" w:after="40" w:line="216" w:lineRule="auto"/>
              <w:ind w:left="792" w:hanging="7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7</w:t>
            </w:r>
            <w:r w:rsidRPr="0072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Роль міжнародної комунікації</w:t>
            </w:r>
            <w:r w:rsidRPr="00AF5E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глобальному  розвитку людства: практичний вимір.</w:t>
            </w:r>
            <w:r>
              <w:t xml:space="preserve"> </w:t>
            </w:r>
            <w:r w:rsidRPr="00C978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Участь України у міжнародних програмах і проектах щодо глобального розвитку</w:t>
            </w:r>
          </w:p>
        </w:tc>
        <w:tc>
          <w:tcPr>
            <w:tcW w:w="850" w:type="dxa"/>
            <w:gridSpan w:val="2"/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007743" w:rsidRPr="00721908" w:rsidTr="00594D1B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48" w:type="dxa"/>
          </w:tcPr>
          <w:p w:rsidR="00007743" w:rsidRPr="00721908" w:rsidRDefault="00007743" w:rsidP="00594D1B">
            <w:pPr>
              <w:spacing w:before="60" w:after="20" w:line="216" w:lineRule="auto"/>
              <w:ind w:left="913" w:hanging="9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Підсумкова модульна  контрольна  робота</w:t>
            </w:r>
          </w:p>
        </w:tc>
        <w:tc>
          <w:tcPr>
            <w:tcW w:w="850" w:type="dxa"/>
            <w:gridSpan w:val="2"/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07743" w:rsidRPr="00721908" w:rsidTr="00594D1B">
        <w:tc>
          <w:tcPr>
            <w:tcW w:w="6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48" w:type="dxa"/>
            <w:tcBorders>
              <w:top w:val="double" w:sz="4" w:space="0" w:color="auto"/>
              <w:bottom w:val="single" w:sz="12" w:space="0" w:color="auto"/>
            </w:tcBorders>
          </w:tcPr>
          <w:p w:rsidR="00007743" w:rsidRPr="00721908" w:rsidRDefault="00007743" w:rsidP="00594D1B">
            <w:pPr>
              <w:spacing w:before="60" w:after="20" w:line="20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743" w:rsidRPr="00721908" w:rsidRDefault="00007743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60</w:t>
            </w:r>
          </w:p>
        </w:tc>
      </w:tr>
    </w:tbl>
    <w:p w:rsidR="00007743" w:rsidRPr="00721908" w:rsidRDefault="00007743" w:rsidP="00007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7743" w:rsidRPr="00721908" w:rsidRDefault="00007743" w:rsidP="00007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219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Загальний обсяг </w:t>
      </w:r>
      <w:r w:rsidRPr="009C1BB1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90</w:t>
      </w:r>
      <w:r w:rsidRPr="00721908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</w:t>
      </w:r>
      <w:r w:rsidRPr="00721908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год., </w:t>
      </w:r>
      <w:r w:rsidRPr="007219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тому числі:</w:t>
      </w:r>
    </w:p>
    <w:p w:rsidR="00007743" w:rsidRPr="00721908" w:rsidRDefault="00007743" w:rsidP="00007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219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Лекцій</w:t>
      </w:r>
      <w:r w:rsidRPr="0072190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– </w:t>
      </w:r>
      <w:r w:rsidRPr="009C1BB1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16</w:t>
      </w:r>
      <w:r w:rsidRPr="00721908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 год.</w:t>
      </w:r>
    </w:p>
    <w:p w:rsidR="00007743" w:rsidRPr="00721908" w:rsidRDefault="00007743" w:rsidP="00007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219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Практичні </w:t>
      </w:r>
      <w:r w:rsidRPr="0072190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– </w:t>
      </w:r>
      <w:r w:rsidRPr="009C1BB1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14 </w:t>
      </w:r>
      <w:r w:rsidRPr="00721908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год.</w:t>
      </w:r>
    </w:p>
    <w:p w:rsidR="00007743" w:rsidRPr="00721908" w:rsidRDefault="00007743" w:rsidP="000077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7219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Самостійна робота</w:t>
      </w:r>
      <w:r w:rsidRPr="0072190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- </w:t>
      </w:r>
      <w:r w:rsidRPr="00721908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60</w:t>
      </w:r>
      <w:r w:rsidRPr="00721908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 год.</w:t>
      </w:r>
    </w:p>
    <w:p w:rsidR="00007743" w:rsidRDefault="00007743" w:rsidP="00007743">
      <w:pPr>
        <w:jc w:val="center"/>
        <w:rPr>
          <w:lang w:val="uk-UA"/>
        </w:rPr>
      </w:pPr>
    </w:p>
    <w:p w:rsidR="00007743" w:rsidRDefault="00007743" w:rsidP="00007743">
      <w:pPr>
        <w:jc w:val="center"/>
        <w:rPr>
          <w:lang w:val="uk-UA"/>
        </w:rPr>
      </w:pPr>
    </w:p>
    <w:p w:rsidR="00007743" w:rsidRDefault="00007743" w:rsidP="00007743">
      <w:pPr>
        <w:jc w:val="center"/>
        <w:rPr>
          <w:lang w:val="uk-UA"/>
        </w:rPr>
      </w:pPr>
    </w:p>
    <w:p w:rsidR="00007743" w:rsidRDefault="00007743" w:rsidP="00007743">
      <w:pPr>
        <w:pStyle w:val="a3"/>
        <w:ind w:left="360"/>
        <w:jc w:val="center"/>
        <w:rPr>
          <w:b/>
          <w:sz w:val="27"/>
          <w:szCs w:val="27"/>
          <w:lang w:val="uk-UA"/>
        </w:rPr>
      </w:pPr>
      <w:r w:rsidRPr="00217205">
        <w:rPr>
          <w:b/>
          <w:sz w:val="27"/>
          <w:szCs w:val="27"/>
          <w:lang w:val="uk-UA"/>
        </w:rPr>
        <w:lastRenderedPageBreak/>
        <w:t>РЕКОМЕНДОВАНІ  ДЖЕРЕЛА:</w:t>
      </w:r>
    </w:p>
    <w:p w:rsidR="00007743" w:rsidRPr="00217205" w:rsidRDefault="00007743" w:rsidP="00007743">
      <w:pPr>
        <w:pStyle w:val="a3"/>
        <w:ind w:left="360"/>
        <w:jc w:val="center"/>
        <w:rPr>
          <w:b/>
          <w:sz w:val="27"/>
          <w:szCs w:val="27"/>
          <w:lang w:val="uk-UA"/>
        </w:rPr>
      </w:pPr>
    </w:p>
    <w:p w:rsidR="00007743" w:rsidRPr="004C40B8" w:rsidRDefault="00007743" w:rsidP="00007743">
      <w:pPr>
        <w:pStyle w:val="a3"/>
        <w:ind w:left="360"/>
        <w:jc w:val="both"/>
        <w:rPr>
          <w:b/>
          <w:sz w:val="28"/>
          <w:szCs w:val="28"/>
          <w:lang w:val="uk-UA"/>
        </w:rPr>
      </w:pPr>
      <w:r w:rsidRPr="004C40B8">
        <w:rPr>
          <w:b/>
          <w:sz w:val="28"/>
          <w:szCs w:val="28"/>
          <w:lang w:val="uk-UA"/>
        </w:rPr>
        <w:t xml:space="preserve">Основні: </w:t>
      </w:r>
    </w:p>
    <w:p w:rsidR="00007743" w:rsidRDefault="00007743" w:rsidP="00007743">
      <w:pPr>
        <w:pStyle w:val="a3"/>
        <w:ind w:left="360"/>
        <w:jc w:val="both"/>
        <w:rPr>
          <w:b/>
          <w:sz w:val="27"/>
          <w:szCs w:val="27"/>
          <w:lang w:val="uk-UA"/>
        </w:rPr>
      </w:pPr>
    </w:p>
    <w:p w:rsidR="00007743" w:rsidRPr="00357AAD" w:rsidRDefault="00007743" w:rsidP="0000774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57AAD">
        <w:rPr>
          <w:sz w:val="28"/>
          <w:szCs w:val="28"/>
          <w:lang w:val="uk-UA"/>
        </w:rPr>
        <w:t xml:space="preserve">Глобальні тренди міжнародних відносин. Монографія. – К.: </w:t>
      </w:r>
      <w:proofErr w:type="spellStart"/>
      <w:r w:rsidRPr="00357AAD">
        <w:rPr>
          <w:sz w:val="28"/>
          <w:szCs w:val="28"/>
          <w:lang w:val="uk-UA"/>
        </w:rPr>
        <w:t>Вадекс</w:t>
      </w:r>
      <w:proofErr w:type="spellEnd"/>
      <w:r w:rsidRPr="00357AAD">
        <w:rPr>
          <w:sz w:val="28"/>
          <w:szCs w:val="28"/>
          <w:lang w:val="uk-UA"/>
        </w:rPr>
        <w:t>, 2020</w:t>
      </w:r>
    </w:p>
    <w:p w:rsidR="00007743" w:rsidRPr="00357AAD" w:rsidRDefault="00007743" w:rsidP="0000774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57AAD">
        <w:rPr>
          <w:sz w:val="28"/>
          <w:szCs w:val="28"/>
          <w:lang w:val="uk-UA"/>
        </w:rPr>
        <w:t>Європейські комунікації. Монографія/ Макаренко Є.А.,</w:t>
      </w:r>
      <w:proofErr w:type="spellStart"/>
      <w:r w:rsidRPr="00357AAD">
        <w:rPr>
          <w:sz w:val="28"/>
          <w:szCs w:val="28"/>
          <w:lang w:val="uk-UA"/>
        </w:rPr>
        <w:t>Ожеван</w:t>
      </w:r>
      <w:proofErr w:type="spellEnd"/>
      <w:r w:rsidRPr="00357AAD">
        <w:rPr>
          <w:sz w:val="28"/>
          <w:szCs w:val="28"/>
          <w:lang w:val="uk-UA"/>
        </w:rPr>
        <w:t xml:space="preserve"> М.А., </w:t>
      </w:r>
      <w:proofErr w:type="spellStart"/>
      <w:r w:rsidRPr="00357AAD">
        <w:rPr>
          <w:sz w:val="28"/>
          <w:szCs w:val="28"/>
          <w:lang w:val="uk-UA"/>
        </w:rPr>
        <w:t>Рижков</w:t>
      </w:r>
      <w:proofErr w:type="spellEnd"/>
      <w:r w:rsidRPr="00357AAD">
        <w:rPr>
          <w:sz w:val="28"/>
          <w:szCs w:val="28"/>
          <w:lang w:val="uk-UA"/>
        </w:rPr>
        <w:t xml:space="preserve"> М.М. та інші. – К. : Центр вільної преси, 2007</w:t>
      </w:r>
    </w:p>
    <w:p w:rsidR="00007743" w:rsidRPr="00357AAD" w:rsidRDefault="00007743" w:rsidP="0000774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57AAD">
        <w:rPr>
          <w:sz w:val="28"/>
          <w:szCs w:val="28"/>
          <w:lang w:val="uk-UA"/>
        </w:rPr>
        <w:t>Запорожець О.Ю. Кризові комунікації у міжнародних відносинах. Навчальний посібник. –  Вінниця: ТОВ «</w:t>
      </w:r>
      <w:proofErr w:type="spellStart"/>
      <w:r w:rsidRPr="00357AAD">
        <w:rPr>
          <w:sz w:val="28"/>
          <w:szCs w:val="28"/>
          <w:lang w:val="uk-UA"/>
        </w:rPr>
        <w:t>Меркьюрі-Поділля</w:t>
      </w:r>
      <w:proofErr w:type="spellEnd"/>
      <w:r w:rsidRPr="00357AAD">
        <w:rPr>
          <w:sz w:val="28"/>
          <w:szCs w:val="28"/>
          <w:lang w:val="uk-UA"/>
        </w:rPr>
        <w:t>», 2018. –  80 с.</w:t>
      </w:r>
    </w:p>
    <w:p w:rsidR="00007743" w:rsidRPr="00357AAD" w:rsidRDefault="00007743" w:rsidP="0000774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57AAD">
        <w:rPr>
          <w:sz w:val="28"/>
          <w:szCs w:val="28"/>
          <w:lang w:val="uk-UA"/>
        </w:rPr>
        <w:t>Квіт С. Масові комунікації : підручник. – К. : Вид. дім «Києво-Могилянська академія», 2008.</w:t>
      </w:r>
    </w:p>
    <w:p w:rsidR="00007743" w:rsidRPr="00357AAD" w:rsidRDefault="00007743" w:rsidP="0000774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57AAD">
        <w:rPr>
          <w:sz w:val="28"/>
          <w:szCs w:val="28"/>
          <w:lang w:val="uk-UA"/>
        </w:rPr>
        <w:t xml:space="preserve">Комунікативні тренди міжнародних відносин. Монографія/Макаренко Є.А., </w:t>
      </w:r>
      <w:proofErr w:type="spellStart"/>
      <w:r w:rsidRPr="00357AAD">
        <w:rPr>
          <w:sz w:val="28"/>
          <w:szCs w:val="28"/>
          <w:lang w:val="uk-UA"/>
        </w:rPr>
        <w:t>Рижков</w:t>
      </w:r>
      <w:proofErr w:type="spellEnd"/>
      <w:r w:rsidRPr="00357AAD">
        <w:rPr>
          <w:sz w:val="28"/>
          <w:szCs w:val="28"/>
          <w:lang w:val="uk-UA"/>
        </w:rPr>
        <w:t xml:space="preserve"> М.М., </w:t>
      </w:r>
      <w:proofErr w:type="spellStart"/>
      <w:r w:rsidRPr="00357AAD">
        <w:rPr>
          <w:sz w:val="28"/>
          <w:szCs w:val="28"/>
          <w:lang w:val="uk-UA"/>
        </w:rPr>
        <w:t>Піпченко</w:t>
      </w:r>
      <w:proofErr w:type="spellEnd"/>
      <w:r w:rsidRPr="00357AAD">
        <w:rPr>
          <w:sz w:val="28"/>
          <w:szCs w:val="28"/>
          <w:lang w:val="uk-UA"/>
        </w:rPr>
        <w:t xml:space="preserve"> Н.О. та інші. – К.: Центр вільної преси, 2016.</w:t>
      </w:r>
    </w:p>
    <w:p w:rsidR="00007743" w:rsidRPr="00357AAD" w:rsidRDefault="00007743" w:rsidP="00007743">
      <w:pPr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Міжнародна інформаційна безпека: теорія і практика. Підручник/ / Макаренко Є.А., </w:t>
      </w:r>
      <w:proofErr w:type="spellStart"/>
      <w:r w:rsidRPr="0035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Рижков</w:t>
      </w:r>
      <w:proofErr w:type="spellEnd"/>
      <w:r w:rsidRPr="0035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М.М., </w:t>
      </w:r>
      <w:proofErr w:type="spellStart"/>
      <w:r w:rsidRPr="0035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Ожеван</w:t>
      </w:r>
      <w:proofErr w:type="spellEnd"/>
      <w:r w:rsidRPr="0035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М.М., </w:t>
      </w:r>
      <w:proofErr w:type="spellStart"/>
      <w:r w:rsidRPr="0035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Кучмій</w:t>
      </w:r>
      <w:proofErr w:type="spellEnd"/>
      <w:r w:rsidRPr="0035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О.П., Фролова О.М. К.: Центр вільної преси, 2016, 420 с.</w:t>
      </w:r>
    </w:p>
    <w:p w:rsidR="00007743" w:rsidRPr="00357AAD" w:rsidRDefault="00007743" w:rsidP="00007743">
      <w:pPr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Міжнародна інформація: терміни і коментарі. Навчальний посібник</w:t>
      </w:r>
      <w:r w:rsidRPr="00357AAD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Pr="0035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 Макаренко Є.А., </w:t>
      </w:r>
      <w:proofErr w:type="spellStart"/>
      <w:r w:rsidRPr="0035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Рижков</w:t>
      </w:r>
      <w:proofErr w:type="spellEnd"/>
      <w:r w:rsidRPr="0035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М.М., </w:t>
      </w:r>
      <w:proofErr w:type="spellStart"/>
      <w:r w:rsidRPr="0035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Кучмій</w:t>
      </w:r>
      <w:proofErr w:type="spellEnd"/>
      <w:r w:rsidRPr="0035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О.П., Фролова О.М.. – К.: Центр вільної преси, 2017, 534 с.</w:t>
      </w:r>
    </w:p>
    <w:p w:rsidR="00007743" w:rsidRPr="00357AAD" w:rsidRDefault="00007743" w:rsidP="0000774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357AAD">
        <w:rPr>
          <w:sz w:val="28"/>
          <w:szCs w:val="28"/>
          <w:lang w:val="uk-UA"/>
        </w:rPr>
        <w:t>Почепцов</w:t>
      </w:r>
      <w:proofErr w:type="spellEnd"/>
      <w:r w:rsidRPr="00357AAD">
        <w:rPr>
          <w:sz w:val="28"/>
          <w:szCs w:val="28"/>
          <w:lang w:val="uk-UA"/>
        </w:rPr>
        <w:t xml:space="preserve"> Г. </w:t>
      </w:r>
      <w:proofErr w:type="spellStart"/>
      <w:r w:rsidRPr="00357AAD">
        <w:rPr>
          <w:sz w:val="28"/>
          <w:szCs w:val="28"/>
          <w:lang w:val="uk-UA"/>
        </w:rPr>
        <w:t>Теория</w:t>
      </w:r>
      <w:proofErr w:type="spellEnd"/>
      <w:r w:rsidRPr="00357AAD">
        <w:rPr>
          <w:sz w:val="28"/>
          <w:szCs w:val="28"/>
          <w:lang w:val="uk-UA"/>
        </w:rPr>
        <w:t xml:space="preserve"> </w:t>
      </w:r>
      <w:proofErr w:type="spellStart"/>
      <w:r w:rsidRPr="00357AAD">
        <w:rPr>
          <w:sz w:val="28"/>
          <w:szCs w:val="28"/>
          <w:lang w:val="uk-UA"/>
        </w:rPr>
        <w:t>коммуникации</w:t>
      </w:r>
      <w:proofErr w:type="spellEnd"/>
      <w:r w:rsidRPr="00357AAD">
        <w:rPr>
          <w:sz w:val="28"/>
          <w:szCs w:val="28"/>
          <w:lang w:val="uk-UA"/>
        </w:rPr>
        <w:t xml:space="preserve">. – М. : </w:t>
      </w:r>
      <w:proofErr w:type="spellStart"/>
      <w:r w:rsidRPr="00357AAD">
        <w:rPr>
          <w:sz w:val="28"/>
          <w:szCs w:val="28"/>
          <w:lang w:val="uk-UA"/>
        </w:rPr>
        <w:t>Рефл-бук</w:t>
      </w:r>
      <w:proofErr w:type="spellEnd"/>
      <w:r w:rsidRPr="00357AAD">
        <w:rPr>
          <w:sz w:val="28"/>
          <w:szCs w:val="28"/>
          <w:lang w:val="uk-UA"/>
        </w:rPr>
        <w:t xml:space="preserve">, К. : </w:t>
      </w:r>
      <w:proofErr w:type="spellStart"/>
      <w:r w:rsidRPr="00357AAD">
        <w:rPr>
          <w:sz w:val="28"/>
          <w:szCs w:val="28"/>
          <w:lang w:val="uk-UA"/>
        </w:rPr>
        <w:t>Ваклер</w:t>
      </w:r>
      <w:proofErr w:type="spellEnd"/>
      <w:r w:rsidRPr="00357AAD">
        <w:rPr>
          <w:sz w:val="28"/>
          <w:szCs w:val="28"/>
          <w:lang w:val="uk-UA"/>
        </w:rPr>
        <w:t>, 2006.</w:t>
      </w:r>
    </w:p>
    <w:p w:rsidR="00007743" w:rsidRPr="00357AAD" w:rsidRDefault="00007743" w:rsidP="0000774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357AAD">
        <w:rPr>
          <w:sz w:val="28"/>
          <w:szCs w:val="28"/>
          <w:lang w:val="uk-UA"/>
        </w:rPr>
        <w:t>Почепцов</w:t>
      </w:r>
      <w:proofErr w:type="spellEnd"/>
      <w:r w:rsidRPr="00357AAD">
        <w:rPr>
          <w:sz w:val="28"/>
          <w:szCs w:val="28"/>
          <w:lang w:val="uk-UA"/>
        </w:rPr>
        <w:t xml:space="preserve"> Г.Г., </w:t>
      </w:r>
      <w:proofErr w:type="spellStart"/>
      <w:r w:rsidRPr="00357AAD">
        <w:rPr>
          <w:sz w:val="28"/>
          <w:szCs w:val="28"/>
          <w:lang w:val="uk-UA"/>
        </w:rPr>
        <w:t>Чукут</w:t>
      </w:r>
      <w:proofErr w:type="spellEnd"/>
      <w:r w:rsidRPr="00357AAD">
        <w:rPr>
          <w:sz w:val="28"/>
          <w:szCs w:val="28"/>
          <w:lang w:val="uk-UA"/>
        </w:rPr>
        <w:t xml:space="preserve"> С.А. Інформаційна політика: </w:t>
      </w:r>
      <w:proofErr w:type="spellStart"/>
      <w:r w:rsidRPr="00357AAD">
        <w:rPr>
          <w:sz w:val="28"/>
          <w:szCs w:val="28"/>
          <w:lang w:val="uk-UA"/>
        </w:rPr>
        <w:t>Навч</w:t>
      </w:r>
      <w:proofErr w:type="spellEnd"/>
      <w:r w:rsidRPr="00357AAD">
        <w:rPr>
          <w:sz w:val="28"/>
          <w:szCs w:val="28"/>
          <w:lang w:val="uk-UA"/>
        </w:rPr>
        <w:t xml:space="preserve">. </w:t>
      </w:r>
      <w:proofErr w:type="spellStart"/>
      <w:r w:rsidRPr="00357AAD">
        <w:rPr>
          <w:sz w:val="28"/>
          <w:szCs w:val="28"/>
          <w:lang w:val="uk-UA"/>
        </w:rPr>
        <w:t>посіб</w:t>
      </w:r>
      <w:proofErr w:type="spellEnd"/>
      <w:r w:rsidRPr="00357AAD">
        <w:rPr>
          <w:sz w:val="28"/>
          <w:szCs w:val="28"/>
          <w:lang w:val="uk-UA"/>
        </w:rPr>
        <w:t>. — К.: Знання, 2006. – 663 с. ​</w:t>
      </w:r>
    </w:p>
    <w:p w:rsidR="00007743" w:rsidRDefault="00007743" w:rsidP="0000774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357AAD">
        <w:rPr>
          <w:sz w:val="28"/>
          <w:szCs w:val="28"/>
          <w:lang w:val="uk-UA"/>
        </w:rPr>
        <w:t>Поче</w:t>
      </w:r>
      <w:proofErr w:type="spellEnd"/>
      <w:r w:rsidRPr="00357AAD">
        <w:rPr>
          <w:sz w:val="28"/>
          <w:szCs w:val="28"/>
          <w:lang w:val="uk-UA"/>
        </w:rPr>
        <w:t xml:space="preserve">пцов Г. Г. </w:t>
      </w:r>
      <w:proofErr w:type="spellStart"/>
      <w:r w:rsidRPr="00357AAD">
        <w:rPr>
          <w:sz w:val="28"/>
          <w:szCs w:val="28"/>
          <w:lang w:val="uk-UA"/>
        </w:rPr>
        <w:t>Коммуникативные</w:t>
      </w:r>
      <w:proofErr w:type="spellEnd"/>
      <w:r w:rsidRPr="00357AAD">
        <w:rPr>
          <w:sz w:val="28"/>
          <w:szCs w:val="28"/>
          <w:lang w:val="uk-UA"/>
        </w:rPr>
        <w:t xml:space="preserve"> </w:t>
      </w:r>
      <w:proofErr w:type="spellStart"/>
      <w:r w:rsidRPr="00357AAD">
        <w:rPr>
          <w:sz w:val="28"/>
          <w:szCs w:val="28"/>
          <w:lang w:val="uk-UA"/>
        </w:rPr>
        <w:t>технологии</w:t>
      </w:r>
      <w:proofErr w:type="spellEnd"/>
      <w:r w:rsidRPr="00357AAD">
        <w:rPr>
          <w:sz w:val="28"/>
          <w:szCs w:val="28"/>
          <w:lang w:val="uk-UA"/>
        </w:rPr>
        <w:t xml:space="preserve"> </w:t>
      </w:r>
      <w:proofErr w:type="spellStart"/>
      <w:r w:rsidRPr="00357AAD">
        <w:rPr>
          <w:sz w:val="28"/>
          <w:szCs w:val="28"/>
          <w:lang w:val="uk-UA"/>
        </w:rPr>
        <w:t>двадцатого</w:t>
      </w:r>
      <w:proofErr w:type="spellEnd"/>
      <w:r w:rsidRPr="00357AAD">
        <w:rPr>
          <w:sz w:val="28"/>
          <w:szCs w:val="28"/>
          <w:lang w:val="uk-UA"/>
        </w:rPr>
        <w:t xml:space="preserve"> </w:t>
      </w:r>
      <w:proofErr w:type="spellStart"/>
      <w:r w:rsidRPr="00357AAD">
        <w:rPr>
          <w:sz w:val="28"/>
          <w:szCs w:val="28"/>
          <w:lang w:val="uk-UA"/>
        </w:rPr>
        <w:t>века</w:t>
      </w:r>
      <w:proofErr w:type="spellEnd"/>
      <w:r w:rsidRPr="00357AAD">
        <w:rPr>
          <w:sz w:val="28"/>
          <w:szCs w:val="28"/>
          <w:lang w:val="uk-UA"/>
        </w:rPr>
        <w:t xml:space="preserve">, К.: </w:t>
      </w:r>
      <w:proofErr w:type="spellStart"/>
      <w:r w:rsidRPr="00357AAD">
        <w:rPr>
          <w:sz w:val="28"/>
          <w:szCs w:val="28"/>
          <w:lang w:val="uk-UA"/>
        </w:rPr>
        <w:t>Ваклер</w:t>
      </w:r>
      <w:proofErr w:type="spellEnd"/>
      <w:r w:rsidRPr="00357AAD">
        <w:rPr>
          <w:sz w:val="28"/>
          <w:szCs w:val="28"/>
          <w:lang w:val="uk-UA"/>
        </w:rPr>
        <w:t>, 1999, 348 с.</w:t>
      </w:r>
    </w:p>
    <w:p w:rsidR="00007743" w:rsidRPr="00357AAD" w:rsidRDefault="00007743" w:rsidP="0000774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57AAD">
        <w:rPr>
          <w:sz w:val="28"/>
          <w:szCs w:val="28"/>
          <w:lang w:val="uk-UA"/>
        </w:rPr>
        <w:t xml:space="preserve">Стратегічні комунікації, К.: </w:t>
      </w:r>
      <w:proofErr w:type="spellStart"/>
      <w:r w:rsidRPr="00357AAD">
        <w:rPr>
          <w:sz w:val="28"/>
          <w:szCs w:val="28"/>
          <w:lang w:val="uk-UA"/>
        </w:rPr>
        <w:t>Vadex</w:t>
      </w:r>
      <w:proofErr w:type="spellEnd"/>
      <w:r w:rsidRPr="00357AAD">
        <w:rPr>
          <w:sz w:val="28"/>
          <w:szCs w:val="28"/>
          <w:lang w:val="uk-UA"/>
        </w:rPr>
        <w:t>, 2019, 446 с.</w:t>
      </w:r>
    </w:p>
    <w:p w:rsidR="00007743" w:rsidRPr="00357AAD" w:rsidRDefault="00007743" w:rsidP="0000774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57AAD">
        <w:rPr>
          <w:sz w:val="28"/>
          <w:szCs w:val="28"/>
          <w:lang w:val="uk-UA"/>
        </w:rPr>
        <w:t xml:space="preserve">Стратегічне партнерство в міжнародних відносинах. Колективна монографія. К.: </w:t>
      </w:r>
      <w:proofErr w:type="spellStart"/>
      <w:r w:rsidRPr="00357AAD">
        <w:rPr>
          <w:sz w:val="28"/>
          <w:szCs w:val="28"/>
          <w:lang w:val="uk-UA"/>
        </w:rPr>
        <w:t>Вадекс</w:t>
      </w:r>
      <w:proofErr w:type="spellEnd"/>
      <w:r w:rsidRPr="00357AAD">
        <w:rPr>
          <w:sz w:val="28"/>
          <w:szCs w:val="28"/>
          <w:lang w:val="uk-UA"/>
        </w:rPr>
        <w:t>, 2018, 542 с.</w:t>
      </w:r>
    </w:p>
    <w:p w:rsidR="00007743" w:rsidRPr="00357AAD" w:rsidRDefault="00007743" w:rsidP="00007743">
      <w:pPr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Макаренко Є. А., </w:t>
      </w:r>
      <w:proofErr w:type="spellStart"/>
      <w:r w:rsidRPr="0035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Рижков</w:t>
      </w:r>
      <w:proofErr w:type="spellEnd"/>
      <w:r w:rsidRPr="0035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М., </w:t>
      </w:r>
      <w:proofErr w:type="spellStart"/>
      <w:r w:rsidRPr="0035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Піпченко</w:t>
      </w:r>
      <w:proofErr w:type="spellEnd"/>
      <w:r w:rsidRPr="00357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О. та ін. Зовнішньополітичні комунікативні технології, К.: Центр вільної преси, 2016, 416 с.</w:t>
      </w:r>
    </w:p>
    <w:p w:rsidR="00007743" w:rsidRPr="00357AAD" w:rsidRDefault="00007743" w:rsidP="0000774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57AAD">
        <w:rPr>
          <w:sz w:val="28"/>
          <w:szCs w:val="28"/>
          <w:lang w:val="uk-UA"/>
        </w:rPr>
        <w:t>Шевченко О. В. Корпоративні комунікації. Підручник. – К.: ІМВ, 2016. – 185 с.</w:t>
      </w:r>
    </w:p>
    <w:p w:rsidR="00007743" w:rsidRPr="00357AAD" w:rsidRDefault="00007743" w:rsidP="00AC4E1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357AAD">
        <w:rPr>
          <w:sz w:val="28"/>
          <w:szCs w:val="28"/>
          <w:lang w:val="uk-UA"/>
        </w:rPr>
        <w:t>Communication</w:t>
      </w:r>
      <w:proofErr w:type="spellEnd"/>
      <w:r w:rsidRPr="00357AAD">
        <w:rPr>
          <w:sz w:val="28"/>
          <w:szCs w:val="28"/>
          <w:lang w:val="en-US"/>
        </w:rPr>
        <w:t xml:space="preserve"> </w:t>
      </w:r>
      <w:proofErr w:type="spellStart"/>
      <w:r w:rsidRPr="00357AAD">
        <w:rPr>
          <w:sz w:val="28"/>
          <w:szCs w:val="28"/>
          <w:lang w:val="uk-UA"/>
        </w:rPr>
        <w:t>for</w:t>
      </w:r>
      <w:proofErr w:type="spellEnd"/>
      <w:r w:rsidRPr="00357AAD">
        <w:rPr>
          <w:sz w:val="28"/>
          <w:szCs w:val="28"/>
          <w:lang w:val="uk-UA"/>
        </w:rPr>
        <w:t xml:space="preserve"> </w:t>
      </w:r>
      <w:proofErr w:type="spellStart"/>
      <w:r w:rsidRPr="00357AAD">
        <w:rPr>
          <w:sz w:val="28"/>
          <w:szCs w:val="28"/>
          <w:lang w:val="uk-UA"/>
        </w:rPr>
        <w:t>Development</w:t>
      </w:r>
      <w:proofErr w:type="spellEnd"/>
      <w:r w:rsidRPr="00357AAD">
        <w:rPr>
          <w:sz w:val="28"/>
          <w:szCs w:val="28"/>
          <w:lang w:val="en-US"/>
        </w:rPr>
        <w:t xml:space="preserve">. </w:t>
      </w:r>
      <w:r w:rsidRPr="00357AAD">
        <w:rPr>
          <w:sz w:val="28"/>
          <w:szCs w:val="28"/>
          <w:lang w:val="uk-UA"/>
        </w:rPr>
        <w:t xml:space="preserve">A </w:t>
      </w:r>
      <w:proofErr w:type="spellStart"/>
      <w:r w:rsidRPr="00357AAD">
        <w:rPr>
          <w:sz w:val="28"/>
          <w:szCs w:val="28"/>
          <w:lang w:val="uk-UA"/>
        </w:rPr>
        <w:t>Practical</w:t>
      </w:r>
      <w:proofErr w:type="spellEnd"/>
      <w:r w:rsidRPr="00357AAD">
        <w:rPr>
          <w:sz w:val="28"/>
          <w:szCs w:val="28"/>
          <w:lang w:val="uk-UA"/>
        </w:rPr>
        <w:t xml:space="preserve"> </w:t>
      </w:r>
      <w:proofErr w:type="spellStart"/>
      <w:r w:rsidRPr="00357AAD">
        <w:rPr>
          <w:sz w:val="28"/>
          <w:szCs w:val="28"/>
          <w:lang w:val="uk-UA"/>
        </w:rPr>
        <w:t>Guide</w:t>
      </w:r>
      <w:proofErr w:type="spellEnd"/>
      <w:r w:rsidRPr="00357AAD">
        <w:rPr>
          <w:sz w:val="28"/>
          <w:szCs w:val="28"/>
          <w:lang w:val="en-US"/>
        </w:rPr>
        <w:t>/ Swiss Agency for Development and Cooperation, 2016 [</w:t>
      </w:r>
      <w:proofErr w:type="spellStart"/>
      <w:r w:rsidRPr="00357AAD">
        <w:rPr>
          <w:sz w:val="28"/>
          <w:szCs w:val="28"/>
          <w:lang w:val="en-US"/>
        </w:rPr>
        <w:t>Електронний</w:t>
      </w:r>
      <w:proofErr w:type="spellEnd"/>
      <w:r w:rsidRPr="00357AAD">
        <w:rPr>
          <w:sz w:val="28"/>
          <w:szCs w:val="28"/>
          <w:lang w:val="en-US"/>
        </w:rPr>
        <w:t xml:space="preserve"> </w:t>
      </w:r>
      <w:proofErr w:type="spellStart"/>
      <w:r w:rsidRPr="00357AAD">
        <w:rPr>
          <w:sz w:val="28"/>
          <w:szCs w:val="28"/>
          <w:lang w:val="en-US"/>
        </w:rPr>
        <w:t>ресурс</w:t>
      </w:r>
      <w:proofErr w:type="spellEnd"/>
      <w:r w:rsidRPr="00357AAD">
        <w:rPr>
          <w:sz w:val="28"/>
          <w:szCs w:val="28"/>
          <w:lang w:val="en-US"/>
        </w:rPr>
        <w:t xml:space="preserve">]. – </w:t>
      </w:r>
      <w:proofErr w:type="spellStart"/>
      <w:r w:rsidRPr="00357AAD">
        <w:rPr>
          <w:sz w:val="28"/>
          <w:szCs w:val="28"/>
          <w:lang w:val="en-US"/>
        </w:rPr>
        <w:t>Режим</w:t>
      </w:r>
      <w:proofErr w:type="spellEnd"/>
      <w:r w:rsidRPr="00357AAD">
        <w:rPr>
          <w:sz w:val="28"/>
          <w:szCs w:val="28"/>
          <w:lang w:val="en-US"/>
        </w:rPr>
        <w:t xml:space="preserve"> </w:t>
      </w:r>
      <w:proofErr w:type="spellStart"/>
      <w:r w:rsidRPr="00357AAD">
        <w:rPr>
          <w:sz w:val="28"/>
          <w:szCs w:val="28"/>
          <w:lang w:val="en-US"/>
        </w:rPr>
        <w:t>доступу</w:t>
      </w:r>
      <w:proofErr w:type="spellEnd"/>
      <w:r w:rsidRPr="00357AAD">
        <w:rPr>
          <w:sz w:val="28"/>
          <w:szCs w:val="28"/>
          <w:lang w:val="en-US"/>
        </w:rPr>
        <w:t>: ttps://www.eda.admin.ch/dam/deza/en/documents/publikationen/Diverses/Communication-for-development-Manual_EN.pdf</w:t>
      </w:r>
      <w:r w:rsidR="00AC4E10">
        <w:rPr>
          <w:sz w:val="28"/>
          <w:szCs w:val="28"/>
          <w:lang w:val="uk-UA"/>
        </w:rPr>
        <w:t xml:space="preserve"> </w:t>
      </w:r>
      <w:r w:rsidR="00AC4E10" w:rsidRPr="00AC4E10">
        <w:rPr>
          <w:sz w:val="28"/>
          <w:szCs w:val="28"/>
          <w:lang w:val="uk-UA"/>
        </w:rPr>
        <w:t>Дата звернення: 1.10.2020</w:t>
      </w:r>
    </w:p>
    <w:p w:rsidR="00007743" w:rsidRPr="00357AAD" w:rsidRDefault="00007743" w:rsidP="00AC4E10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val="en-US" w:eastAsia="en-US"/>
        </w:rPr>
      </w:pPr>
      <w:proofErr w:type="spellStart"/>
      <w:r w:rsidRPr="00357AAD">
        <w:rPr>
          <w:sz w:val="28"/>
          <w:szCs w:val="28"/>
          <w:lang w:val="uk-UA"/>
        </w:rPr>
        <w:t>Communication</w:t>
      </w:r>
      <w:proofErr w:type="spellEnd"/>
      <w:r w:rsidRPr="00357AAD">
        <w:rPr>
          <w:sz w:val="28"/>
          <w:szCs w:val="28"/>
          <w:lang w:val="en-US"/>
        </w:rPr>
        <w:t xml:space="preserve"> lies at the heart of Sustainable </w:t>
      </w:r>
      <w:r w:rsidRPr="00357AAD">
        <w:rPr>
          <w:sz w:val="28"/>
          <w:szCs w:val="28"/>
          <w:lang w:val="uk-UA"/>
        </w:rPr>
        <w:t xml:space="preserve"> </w:t>
      </w:r>
      <w:proofErr w:type="spellStart"/>
      <w:r w:rsidRPr="00357AAD">
        <w:rPr>
          <w:sz w:val="28"/>
          <w:szCs w:val="28"/>
          <w:lang w:val="uk-UA"/>
        </w:rPr>
        <w:t>Development</w:t>
      </w:r>
      <w:proofErr w:type="spellEnd"/>
      <w:r w:rsidRPr="00357AAD">
        <w:rPr>
          <w:sz w:val="28"/>
          <w:szCs w:val="28"/>
          <w:lang w:val="en-US"/>
        </w:rPr>
        <w:t xml:space="preserve">/UNICEF/ </w:t>
      </w:r>
      <w:hyperlink r:id="rId6" w:history="1">
        <w:r w:rsidRPr="00357AAD">
          <w:rPr>
            <w:rStyle w:val="a4"/>
            <w:color w:val="auto"/>
            <w:sz w:val="28"/>
            <w:szCs w:val="28"/>
            <w:u w:val="none"/>
            <w:lang w:val="en-US"/>
          </w:rPr>
          <w:t>https://www.unicef.org/cbsc/index_42328.html</w:t>
        </w:r>
      </w:hyperlink>
      <w:r w:rsidR="00AC4E10">
        <w:rPr>
          <w:rStyle w:val="a4"/>
          <w:color w:val="auto"/>
          <w:sz w:val="28"/>
          <w:szCs w:val="28"/>
          <w:u w:val="none"/>
          <w:lang w:val="uk-UA"/>
        </w:rPr>
        <w:t xml:space="preserve"> Дата звернення: 5.12</w:t>
      </w:r>
      <w:r w:rsidR="00AC4E10" w:rsidRPr="00AC4E10">
        <w:rPr>
          <w:rStyle w:val="a4"/>
          <w:color w:val="auto"/>
          <w:sz w:val="28"/>
          <w:szCs w:val="28"/>
          <w:u w:val="none"/>
          <w:lang w:val="uk-UA"/>
        </w:rPr>
        <w:t>.2020</w:t>
      </w:r>
    </w:p>
    <w:p w:rsidR="00007743" w:rsidRPr="00357AAD" w:rsidRDefault="00007743" w:rsidP="00AC4E10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val="uk-UA" w:eastAsia="en-US"/>
        </w:rPr>
      </w:pPr>
      <w:r w:rsidRPr="00357AAD">
        <w:rPr>
          <w:rFonts w:eastAsiaTheme="minorHAnsi"/>
          <w:sz w:val="28"/>
          <w:szCs w:val="28"/>
          <w:lang w:val="en-US" w:eastAsia="en-US"/>
        </w:rPr>
        <w:t>Good Practices in Development Communication/ OECD/</w:t>
      </w:r>
      <w:r w:rsidRPr="00357AAD">
        <w:rPr>
          <w:sz w:val="28"/>
          <w:szCs w:val="28"/>
          <w:lang w:val="en-US"/>
        </w:rPr>
        <w:t xml:space="preserve"> </w:t>
      </w:r>
      <w:hyperlink r:id="rId7" w:history="1">
        <w:r w:rsidRPr="00357AAD">
          <w:rPr>
            <w:rStyle w:val="a4"/>
            <w:rFonts w:eastAsiaTheme="minorHAnsi"/>
            <w:color w:val="auto"/>
            <w:sz w:val="28"/>
            <w:szCs w:val="28"/>
            <w:u w:val="none"/>
            <w:lang w:val="en-US" w:eastAsia="en-US"/>
          </w:rPr>
          <w:t>http://www.oecd.org/dev/DevCom%20Publication%20Good%20Practices%20in%20Development%20Communication.pdf</w:t>
        </w:r>
      </w:hyperlink>
      <w:r w:rsidR="00AC4E10">
        <w:rPr>
          <w:rStyle w:val="a4"/>
          <w:rFonts w:eastAsiaTheme="minorHAnsi"/>
          <w:color w:val="auto"/>
          <w:sz w:val="28"/>
          <w:szCs w:val="28"/>
          <w:u w:val="none"/>
          <w:lang w:val="uk-UA" w:eastAsia="en-US"/>
        </w:rPr>
        <w:t xml:space="preserve"> </w:t>
      </w:r>
      <w:r w:rsidR="00AC4E10" w:rsidRPr="00AC4E10">
        <w:rPr>
          <w:rStyle w:val="a4"/>
          <w:rFonts w:eastAsiaTheme="minorHAnsi"/>
          <w:color w:val="auto"/>
          <w:sz w:val="28"/>
          <w:szCs w:val="28"/>
          <w:u w:val="none"/>
          <w:lang w:val="uk-UA" w:eastAsia="en-US"/>
        </w:rPr>
        <w:t>Дата звернення: 1</w:t>
      </w:r>
      <w:r w:rsidR="00AC4E10">
        <w:rPr>
          <w:rStyle w:val="a4"/>
          <w:rFonts w:eastAsiaTheme="minorHAnsi"/>
          <w:color w:val="auto"/>
          <w:sz w:val="28"/>
          <w:szCs w:val="28"/>
          <w:u w:val="none"/>
          <w:lang w:val="uk-UA" w:eastAsia="en-US"/>
        </w:rPr>
        <w:t>1</w:t>
      </w:r>
      <w:r w:rsidR="00AC4E10" w:rsidRPr="00AC4E10">
        <w:rPr>
          <w:rStyle w:val="a4"/>
          <w:rFonts w:eastAsiaTheme="minorHAnsi"/>
          <w:color w:val="auto"/>
          <w:sz w:val="28"/>
          <w:szCs w:val="28"/>
          <w:u w:val="none"/>
          <w:lang w:val="uk-UA" w:eastAsia="en-US"/>
        </w:rPr>
        <w:t>.1</w:t>
      </w:r>
      <w:r w:rsidR="00AC4E10">
        <w:rPr>
          <w:rStyle w:val="a4"/>
          <w:rFonts w:eastAsiaTheme="minorHAnsi"/>
          <w:color w:val="auto"/>
          <w:sz w:val="28"/>
          <w:szCs w:val="28"/>
          <w:u w:val="none"/>
          <w:lang w:val="uk-UA" w:eastAsia="en-US"/>
        </w:rPr>
        <w:t>2</w:t>
      </w:r>
      <w:r w:rsidR="00AC4E10" w:rsidRPr="00AC4E10">
        <w:rPr>
          <w:rStyle w:val="a4"/>
          <w:rFonts w:eastAsiaTheme="minorHAnsi"/>
          <w:color w:val="auto"/>
          <w:sz w:val="28"/>
          <w:szCs w:val="28"/>
          <w:u w:val="none"/>
          <w:lang w:val="uk-UA" w:eastAsia="en-US"/>
        </w:rPr>
        <w:t>.2020</w:t>
      </w:r>
    </w:p>
    <w:p w:rsidR="00007743" w:rsidRPr="00357AAD" w:rsidRDefault="00007743" w:rsidP="00AC4E10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June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Lennie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>,</w:t>
      </w:r>
      <w:r w:rsidRPr="00357AAD">
        <w:rPr>
          <w:rFonts w:eastAsiaTheme="minorHAnsi"/>
          <w:sz w:val="28"/>
          <w:szCs w:val="28"/>
          <w:lang w:val="en-US" w:eastAsia="en-US"/>
        </w:rPr>
        <w:t xml:space="preserve"> Jo </w:t>
      </w:r>
      <w:proofErr w:type="spellStart"/>
      <w:r w:rsidRPr="00357AAD">
        <w:rPr>
          <w:rFonts w:eastAsiaTheme="minorHAnsi"/>
          <w:sz w:val="28"/>
          <w:szCs w:val="28"/>
          <w:lang w:val="en-US" w:eastAsia="en-US"/>
        </w:rPr>
        <w:t>Tacchi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Evaluating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Communication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for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Development</w:t>
      </w:r>
      <w:proofErr w:type="spellEnd"/>
      <w:r w:rsidRPr="00357AAD">
        <w:rPr>
          <w:rFonts w:eastAsiaTheme="minorHAnsi"/>
          <w:sz w:val="28"/>
          <w:szCs w:val="28"/>
          <w:lang w:val="en-US" w:eastAsia="en-US"/>
        </w:rPr>
        <w:t>, 2013</w:t>
      </w:r>
      <w:r w:rsidRPr="00357AAD">
        <w:rPr>
          <w:sz w:val="28"/>
          <w:szCs w:val="28"/>
          <w:lang w:val="en-US"/>
        </w:rPr>
        <w:t xml:space="preserve"> </w:t>
      </w:r>
      <w:r w:rsidRPr="00357AAD">
        <w:rPr>
          <w:rFonts w:eastAsiaTheme="minorHAnsi"/>
          <w:sz w:val="28"/>
          <w:szCs w:val="28"/>
          <w:lang w:val="en-US" w:eastAsia="en-US"/>
        </w:rPr>
        <w:t>https://books.google.cl/books?hl=es&amp;lr=&amp;id=QuS3wnglemsC&amp;oi=fnd&amp;pg=PR3&amp;dq=evaluating+communication+for+development&amp;ots=tUOWLrDDkt&amp;sig=</w:t>
      </w:r>
      <w:r w:rsidRPr="00357AAD">
        <w:rPr>
          <w:rFonts w:eastAsiaTheme="minorHAnsi"/>
          <w:sz w:val="28"/>
          <w:szCs w:val="28"/>
          <w:lang w:val="en-US" w:eastAsia="en-US"/>
        </w:rPr>
        <w:lastRenderedPageBreak/>
        <w:t xml:space="preserve">-iKQq2Zs__qEF69CrsCMlQ0Hx9c#v=onepage&amp;q=evaluating%20communication%20for%20development&amp;f=false </w:t>
      </w:r>
      <w:proofErr w:type="spellStart"/>
      <w:r w:rsidR="00AC4E10" w:rsidRPr="00AC4E10">
        <w:rPr>
          <w:rFonts w:eastAsiaTheme="minorHAnsi"/>
          <w:sz w:val="28"/>
          <w:szCs w:val="28"/>
          <w:lang w:val="en-US" w:eastAsia="en-US"/>
        </w:rPr>
        <w:t>Дата</w:t>
      </w:r>
      <w:proofErr w:type="spellEnd"/>
      <w:r w:rsidR="00AC4E10" w:rsidRPr="00AC4E1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AC4E10" w:rsidRPr="00AC4E10">
        <w:rPr>
          <w:rFonts w:eastAsiaTheme="minorHAnsi"/>
          <w:sz w:val="28"/>
          <w:szCs w:val="28"/>
          <w:lang w:val="en-US" w:eastAsia="en-US"/>
        </w:rPr>
        <w:t>звернення</w:t>
      </w:r>
      <w:proofErr w:type="spellEnd"/>
      <w:r w:rsidR="00AC4E10" w:rsidRPr="00AC4E10">
        <w:rPr>
          <w:rFonts w:eastAsiaTheme="minorHAnsi"/>
          <w:sz w:val="28"/>
          <w:szCs w:val="28"/>
          <w:lang w:val="en-US" w:eastAsia="en-US"/>
        </w:rPr>
        <w:t>: 1.10.2020</w:t>
      </w:r>
    </w:p>
    <w:p w:rsidR="00007743" w:rsidRPr="00357AAD" w:rsidRDefault="00007743" w:rsidP="00007743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Mefalopulos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Paolo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(2008).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Development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Communication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Sourcebook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: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Broadening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the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Boundaries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of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Communication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.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Washington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DC: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International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Bank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for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Reconstruction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and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Development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>/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The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World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Bank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>. p. 224. ISBN 978-0-8213-7522-8.</w:t>
      </w:r>
    </w:p>
    <w:p w:rsidR="00007743" w:rsidRPr="00357AAD" w:rsidRDefault="00007743" w:rsidP="00007743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Thussu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D.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International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Communication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: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Continuity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and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Change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. – 3rd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ed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. –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London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: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Bloomsbury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Academic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>, 2018. – 392 p.</w:t>
      </w:r>
    </w:p>
    <w:p w:rsidR="00007743" w:rsidRPr="00B25F11" w:rsidRDefault="00007743" w:rsidP="00007743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Quebral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Nora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C. 2007.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Reflections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on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Development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Communication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: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Update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on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Development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Communication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.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In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'Philippine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Communication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Today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'.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Maslog</w:t>
      </w:r>
      <w:proofErr w:type="spellEnd"/>
      <w:r w:rsidRPr="00357AAD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Pr="00357AAD">
        <w:rPr>
          <w:rFonts w:eastAsiaTheme="minorHAnsi"/>
          <w:sz w:val="28"/>
          <w:szCs w:val="28"/>
          <w:lang w:val="uk-UA" w:eastAsia="en-US"/>
        </w:rPr>
        <w:t>Crispin</w:t>
      </w:r>
      <w:proofErr w:type="spellEnd"/>
      <w:r w:rsidRPr="00B25F11">
        <w:rPr>
          <w:rFonts w:eastAsiaTheme="minorHAnsi"/>
          <w:sz w:val="28"/>
          <w:szCs w:val="28"/>
          <w:lang w:val="uk-UA" w:eastAsia="en-US"/>
        </w:rPr>
        <w:t xml:space="preserve"> C. </w:t>
      </w:r>
      <w:proofErr w:type="spellStart"/>
      <w:r w:rsidRPr="00B25F11">
        <w:rPr>
          <w:rFonts w:eastAsiaTheme="minorHAnsi"/>
          <w:sz w:val="28"/>
          <w:szCs w:val="28"/>
          <w:lang w:val="uk-UA" w:eastAsia="en-US"/>
        </w:rPr>
        <w:t>Editor</w:t>
      </w:r>
      <w:proofErr w:type="spellEnd"/>
      <w:r w:rsidRPr="00B25F11">
        <w:rPr>
          <w:rFonts w:eastAsiaTheme="minorHAnsi"/>
          <w:sz w:val="28"/>
          <w:szCs w:val="28"/>
          <w:lang w:val="uk-UA" w:eastAsia="en-US"/>
        </w:rPr>
        <w:t xml:space="preserve">. </w:t>
      </w:r>
      <w:proofErr w:type="spellStart"/>
      <w:r w:rsidRPr="00B25F11">
        <w:rPr>
          <w:rFonts w:eastAsiaTheme="minorHAnsi"/>
          <w:sz w:val="28"/>
          <w:szCs w:val="28"/>
          <w:lang w:val="uk-UA" w:eastAsia="en-US"/>
        </w:rPr>
        <w:t>Quezon</w:t>
      </w:r>
      <w:proofErr w:type="spellEnd"/>
      <w:r w:rsidRPr="00B25F11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B25F11">
        <w:rPr>
          <w:rFonts w:eastAsiaTheme="minorHAnsi"/>
          <w:sz w:val="28"/>
          <w:szCs w:val="28"/>
          <w:lang w:val="uk-UA" w:eastAsia="en-US"/>
        </w:rPr>
        <w:t>City</w:t>
      </w:r>
      <w:proofErr w:type="spellEnd"/>
      <w:r w:rsidRPr="00B25F11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Pr="00B25F11">
        <w:rPr>
          <w:rFonts w:eastAsiaTheme="minorHAnsi"/>
          <w:sz w:val="28"/>
          <w:szCs w:val="28"/>
          <w:lang w:val="uk-UA" w:eastAsia="en-US"/>
        </w:rPr>
        <w:t>Phil</w:t>
      </w:r>
      <w:proofErr w:type="spellEnd"/>
      <w:r w:rsidRPr="00B25F11">
        <w:rPr>
          <w:rFonts w:eastAsiaTheme="minorHAnsi"/>
          <w:sz w:val="28"/>
          <w:szCs w:val="28"/>
          <w:lang w:val="uk-UA" w:eastAsia="en-US"/>
        </w:rPr>
        <w:t xml:space="preserve">.: </w:t>
      </w:r>
      <w:proofErr w:type="spellStart"/>
      <w:r w:rsidRPr="00B25F11">
        <w:rPr>
          <w:rFonts w:eastAsiaTheme="minorHAnsi"/>
          <w:sz w:val="28"/>
          <w:szCs w:val="28"/>
          <w:lang w:val="uk-UA" w:eastAsia="en-US"/>
        </w:rPr>
        <w:t>New</w:t>
      </w:r>
      <w:proofErr w:type="spellEnd"/>
      <w:r w:rsidRPr="00B25F11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B25F11">
        <w:rPr>
          <w:rFonts w:eastAsiaTheme="minorHAnsi"/>
          <w:sz w:val="28"/>
          <w:szCs w:val="28"/>
          <w:lang w:val="uk-UA" w:eastAsia="en-US"/>
        </w:rPr>
        <w:t>Day</w:t>
      </w:r>
      <w:proofErr w:type="spellEnd"/>
      <w:r w:rsidRPr="00B25F11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B25F11">
        <w:rPr>
          <w:rFonts w:eastAsiaTheme="minorHAnsi"/>
          <w:sz w:val="28"/>
          <w:szCs w:val="28"/>
          <w:lang w:val="uk-UA" w:eastAsia="en-US"/>
        </w:rPr>
        <w:t>Publishers</w:t>
      </w:r>
      <w:proofErr w:type="spellEnd"/>
      <w:r w:rsidRPr="00B25F11">
        <w:rPr>
          <w:rFonts w:eastAsiaTheme="minorHAnsi"/>
          <w:sz w:val="28"/>
          <w:szCs w:val="28"/>
          <w:lang w:val="uk-UA" w:eastAsia="en-US"/>
        </w:rPr>
        <w:t>.</w:t>
      </w:r>
    </w:p>
    <w:p w:rsidR="00007743" w:rsidRPr="00B25F11" w:rsidRDefault="00007743" w:rsidP="00007743">
      <w:pPr>
        <w:pStyle w:val="a3"/>
        <w:ind w:left="360"/>
        <w:jc w:val="both"/>
        <w:rPr>
          <w:rFonts w:eastAsiaTheme="minorHAnsi"/>
          <w:sz w:val="28"/>
          <w:szCs w:val="28"/>
          <w:lang w:val="uk-UA" w:eastAsia="en-US"/>
        </w:rPr>
      </w:pPr>
    </w:p>
    <w:p w:rsidR="00007743" w:rsidRPr="00FA5EC3" w:rsidRDefault="00007743" w:rsidP="00007743">
      <w:pPr>
        <w:pStyle w:val="a3"/>
        <w:ind w:left="360"/>
        <w:jc w:val="both"/>
        <w:rPr>
          <w:rFonts w:eastAsiaTheme="minorHAnsi"/>
          <w:sz w:val="28"/>
          <w:szCs w:val="28"/>
          <w:lang w:val="uk-UA" w:eastAsia="en-US"/>
        </w:rPr>
      </w:pPr>
    </w:p>
    <w:p w:rsidR="00007743" w:rsidRPr="004C40B8" w:rsidRDefault="00007743" w:rsidP="00007743">
      <w:pPr>
        <w:pStyle w:val="a3"/>
        <w:ind w:left="360"/>
        <w:jc w:val="both"/>
        <w:rPr>
          <w:b/>
          <w:sz w:val="27"/>
          <w:szCs w:val="27"/>
          <w:lang w:val="uk-UA"/>
        </w:rPr>
      </w:pPr>
    </w:p>
    <w:p w:rsidR="00007743" w:rsidRPr="004C40B8" w:rsidRDefault="00007743" w:rsidP="00007743">
      <w:pPr>
        <w:pStyle w:val="a3"/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Додаткові</w:t>
      </w:r>
      <w:r w:rsidRPr="004C40B8">
        <w:rPr>
          <w:b/>
          <w:sz w:val="28"/>
          <w:szCs w:val="28"/>
          <w:lang w:val="uk-UA"/>
        </w:rPr>
        <w:t>:</w:t>
      </w:r>
    </w:p>
    <w:p w:rsidR="00007743" w:rsidRPr="004C40B8" w:rsidRDefault="00007743" w:rsidP="00007743">
      <w:pPr>
        <w:pStyle w:val="a3"/>
        <w:ind w:left="360"/>
        <w:jc w:val="both"/>
        <w:rPr>
          <w:b/>
          <w:sz w:val="27"/>
          <w:szCs w:val="27"/>
          <w:lang w:val="en-US"/>
        </w:rPr>
      </w:pPr>
    </w:p>
    <w:p w:rsidR="00007743" w:rsidRDefault="00007743" w:rsidP="000077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Лалл</w:t>
      </w:r>
      <w:proofErr w:type="spellEnd"/>
      <w:r w:rsidRPr="00FA5EC3">
        <w:rPr>
          <w:sz w:val="28"/>
          <w:szCs w:val="28"/>
          <w:lang w:val="uk-UA"/>
        </w:rPr>
        <w:t xml:space="preserve"> Дж. Мас-медіа, комунікація, культура: глобальний підхід : [пер. з англ.] – К. : К.І.С., 2002. – 264 с.</w:t>
      </w:r>
    </w:p>
    <w:p w:rsidR="00007743" w:rsidRPr="00357AAD" w:rsidRDefault="00007743" w:rsidP="000077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357AAD">
        <w:rPr>
          <w:sz w:val="28"/>
          <w:szCs w:val="28"/>
          <w:lang w:val="uk-UA"/>
        </w:rPr>
        <w:t>Українська дипломатична енциклопедія: у 5 т., Харків: Фоліо, 2013.</w:t>
      </w:r>
    </w:p>
    <w:p w:rsidR="00007743" w:rsidRDefault="00007743" w:rsidP="000077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Фролова О.М., </w:t>
      </w:r>
      <w:proofErr w:type="spellStart"/>
      <w:r>
        <w:rPr>
          <w:sz w:val="28"/>
          <w:szCs w:val="28"/>
          <w:lang w:val="uk-UA"/>
        </w:rPr>
        <w:t>Мирончук</w:t>
      </w:r>
      <w:proofErr w:type="spellEnd"/>
      <w:r>
        <w:rPr>
          <w:sz w:val="28"/>
          <w:szCs w:val="28"/>
          <w:lang w:val="uk-UA"/>
        </w:rPr>
        <w:t xml:space="preserve"> Л.М. </w:t>
      </w:r>
      <w:r w:rsidRPr="004C40B8">
        <w:rPr>
          <w:sz w:val="28"/>
          <w:szCs w:val="28"/>
          <w:lang w:val="uk-UA"/>
        </w:rPr>
        <w:t>Стратегічні комунікації як засіб врегулювання міграційної кризи в ЄС</w:t>
      </w:r>
      <w:r>
        <w:rPr>
          <w:sz w:val="28"/>
          <w:szCs w:val="28"/>
          <w:lang w:val="uk-UA"/>
        </w:rPr>
        <w:t xml:space="preserve">, </w:t>
      </w:r>
      <w:r w:rsidRPr="004C40B8">
        <w:rPr>
          <w:sz w:val="28"/>
          <w:szCs w:val="28"/>
          <w:lang w:val="uk-UA"/>
        </w:rPr>
        <w:t>Політичне життя, 2021, Вип.2</w:t>
      </w:r>
    </w:p>
    <w:p w:rsidR="00007743" w:rsidRPr="00FA5EC3" w:rsidRDefault="00007743" w:rsidP="000077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A5EC3">
        <w:rPr>
          <w:sz w:val="28"/>
          <w:szCs w:val="28"/>
          <w:lang w:val="uk-UA"/>
        </w:rPr>
        <w:t xml:space="preserve">Фролова О.М. </w:t>
      </w:r>
      <w:proofErr w:type="spellStart"/>
      <w:r w:rsidRPr="00FA5EC3">
        <w:rPr>
          <w:sz w:val="28"/>
          <w:szCs w:val="28"/>
          <w:lang w:val="uk-UA"/>
        </w:rPr>
        <w:t>Глобалізаційні</w:t>
      </w:r>
      <w:proofErr w:type="spellEnd"/>
      <w:r w:rsidRPr="00FA5EC3">
        <w:rPr>
          <w:sz w:val="28"/>
          <w:szCs w:val="28"/>
          <w:lang w:val="uk-UA"/>
        </w:rPr>
        <w:t xml:space="preserve"> процеси в інформаційній сфері та їх вплив на новий світовий порядок/ «Міжнародні відносини». Серія: Політичні науки (спецвипуск), № 17, 2017</w:t>
      </w:r>
    </w:p>
    <w:p w:rsidR="00007743" w:rsidRPr="00FA5EC3" w:rsidRDefault="00007743" w:rsidP="000077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A5EC3">
        <w:rPr>
          <w:sz w:val="28"/>
          <w:szCs w:val="28"/>
          <w:lang w:val="uk-UA"/>
        </w:rPr>
        <w:t>Фролова О.М. Міжнародне співробітництво в галузі забезпечення інформаційної безпеки/ Вісник Львівського університету. Серія міжнародні відносини, 2019 р., випуск 46, С.123-136</w:t>
      </w:r>
    </w:p>
    <w:p w:rsidR="00007743" w:rsidRPr="00FA5EC3" w:rsidRDefault="00007743" w:rsidP="000077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A5EC3">
        <w:rPr>
          <w:sz w:val="28"/>
          <w:szCs w:val="28"/>
          <w:lang w:val="uk-UA"/>
        </w:rPr>
        <w:t xml:space="preserve">Шмідт Е., </w:t>
      </w:r>
      <w:proofErr w:type="spellStart"/>
      <w:r w:rsidRPr="00FA5EC3">
        <w:rPr>
          <w:sz w:val="28"/>
          <w:szCs w:val="28"/>
          <w:lang w:val="uk-UA"/>
        </w:rPr>
        <w:t>Коен</w:t>
      </w:r>
      <w:proofErr w:type="spellEnd"/>
      <w:r w:rsidRPr="00FA5EC3">
        <w:rPr>
          <w:sz w:val="28"/>
          <w:szCs w:val="28"/>
          <w:lang w:val="uk-UA"/>
        </w:rPr>
        <w:t xml:space="preserve"> Дж. Новий цифровий світ: як технології змінюють державу, бізнес і наше життя : [пер. з англ.]. – К. : Літопис, 2015. – 368 с.</w:t>
      </w:r>
    </w:p>
    <w:p w:rsidR="00007743" w:rsidRPr="00FA5EC3" w:rsidRDefault="00007743" w:rsidP="00AC4E1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A5EC3">
        <w:rPr>
          <w:sz w:val="28"/>
          <w:szCs w:val="28"/>
          <w:lang w:val="uk-UA"/>
        </w:rPr>
        <w:t xml:space="preserve">APEC </w:t>
      </w:r>
      <w:proofErr w:type="spellStart"/>
      <w:r w:rsidRPr="00FA5EC3">
        <w:rPr>
          <w:sz w:val="28"/>
          <w:szCs w:val="28"/>
          <w:lang w:val="uk-UA"/>
        </w:rPr>
        <w:t>Telecommunications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and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Information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Working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Group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Strategic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Action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Plan</w:t>
      </w:r>
      <w:proofErr w:type="spellEnd"/>
      <w:r w:rsidRPr="00FA5EC3">
        <w:rPr>
          <w:sz w:val="28"/>
          <w:szCs w:val="28"/>
          <w:lang w:val="uk-UA"/>
        </w:rPr>
        <w:t xml:space="preserve"> 2016–2020 [Електронний ресурс]. – Режим доступу: http://www.apec.org/~/media/Files/Groups/TEL/20150331_APEC%20TEL%20Strategic%20Action%20Plan%202016–2020.pdf.</w:t>
      </w:r>
      <w:r w:rsidR="00AC4E10" w:rsidRPr="00AC4E10">
        <w:rPr>
          <w:lang w:val="en-US"/>
        </w:rPr>
        <w:t xml:space="preserve"> </w:t>
      </w:r>
      <w:r w:rsidR="00AC4E10" w:rsidRPr="00AC4E10">
        <w:rPr>
          <w:sz w:val="28"/>
          <w:szCs w:val="28"/>
          <w:lang w:val="uk-UA"/>
        </w:rPr>
        <w:t>Дата звернення: 1.10.2020</w:t>
      </w:r>
    </w:p>
    <w:p w:rsidR="00007743" w:rsidRPr="00FA5EC3" w:rsidRDefault="00007743" w:rsidP="000077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Armitage</w:t>
      </w:r>
      <w:proofErr w:type="spellEnd"/>
      <w:r w:rsidRPr="00FA5EC3">
        <w:rPr>
          <w:sz w:val="28"/>
          <w:szCs w:val="28"/>
          <w:lang w:val="uk-UA"/>
        </w:rPr>
        <w:t xml:space="preserve"> R.L. </w:t>
      </w:r>
      <w:proofErr w:type="spellStart"/>
      <w:r w:rsidRPr="00FA5EC3">
        <w:rPr>
          <w:sz w:val="28"/>
          <w:szCs w:val="28"/>
          <w:lang w:val="uk-UA"/>
        </w:rPr>
        <w:t>Election</w:t>
      </w:r>
      <w:proofErr w:type="spellEnd"/>
      <w:r w:rsidRPr="00FA5EC3">
        <w:rPr>
          <w:sz w:val="28"/>
          <w:szCs w:val="28"/>
          <w:lang w:val="uk-UA"/>
        </w:rPr>
        <w:t xml:space="preserve"> ’08, </w:t>
      </w:r>
      <w:proofErr w:type="spellStart"/>
      <w:r w:rsidRPr="00FA5EC3">
        <w:rPr>
          <w:sz w:val="28"/>
          <w:szCs w:val="28"/>
          <w:lang w:val="uk-UA"/>
        </w:rPr>
        <w:t>Smart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Power</w:t>
      </w:r>
      <w:proofErr w:type="spellEnd"/>
      <w:r w:rsidRPr="00FA5EC3">
        <w:rPr>
          <w:sz w:val="28"/>
          <w:szCs w:val="28"/>
          <w:lang w:val="uk-UA"/>
        </w:rPr>
        <w:t xml:space="preserve"> ’09 / </w:t>
      </w:r>
      <w:proofErr w:type="spellStart"/>
      <w:r w:rsidRPr="00FA5EC3">
        <w:rPr>
          <w:sz w:val="28"/>
          <w:szCs w:val="28"/>
          <w:lang w:val="uk-UA"/>
        </w:rPr>
        <w:t>Richard</w:t>
      </w:r>
      <w:proofErr w:type="spellEnd"/>
      <w:r w:rsidRPr="00FA5EC3">
        <w:rPr>
          <w:sz w:val="28"/>
          <w:szCs w:val="28"/>
          <w:lang w:val="uk-UA"/>
        </w:rPr>
        <w:t xml:space="preserve"> L. </w:t>
      </w:r>
      <w:proofErr w:type="spellStart"/>
      <w:r w:rsidRPr="00FA5EC3">
        <w:rPr>
          <w:sz w:val="28"/>
          <w:szCs w:val="28"/>
          <w:lang w:val="uk-UA"/>
        </w:rPr>
        <w:t>Armitage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and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Joseph</w:t>
      </w:r>
      <w:proofErr w:type="spellEnd"/>
      <w:r w:rsidRPr="00FA5EC3">
        <w:rPr>
          <w:sz w:val="28"/>
          <w:szCs w:val="28"/>
          <w:lang w:val="uk-UA"/>
        </w:rPr>
        <w:t xml:space="preserve"> S. </w:t>
      </w:r>
      <w:proofErr w:type="spellStart"/>
      <w:r w:rsidRPr="00FA5EC3">
        <w:rPr>
          <w:sz w:val="28"/>
          <w:szCs w:val="28"/>
          <w:lang w:val="uk-UA"/>
        </w:rPr>
        <w:t>Nye</w:t>
      </w:r>
      <w:proofErr w:type="spellEnd"/>
      <w:r w:rsidRPr="00FA5EC3">
        <w:rPr>
          <w:sz w:val="28"/>
          <w:szCs w:val="28"/>
          <w:lang w:val="uk-UA"/>
        </w:rPr>
        <w:t xml:space="preserve">. // </w:t>
      </w:r>
      <w:proofErr w:type="spellStart"/>
      <w:r w:rsidRPr="00FA5EC3">
        <w:rPr>
          <w:sz w:val="28"/>
          <w:szCs w:val="28"/>
          <w:lang w:val="uk-UA"/>
        </w:rPr>
        <w:t>Global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forecast</w:t>
      </w:r>
      <w:proofErr w:type="spellEnd"/>
      <w:r w:rsidRPr="00FA5EC3">
        <w:rPr>
          <w:sz w:val="28"/>
          <w:szCs w:val="28"/>
          <w:lang w:val="uk-UA"/>
        </w:rPr>
        <w:t xml:space="preserve">: </w:t>
      </w:r>
      <w:proofErr w:type="spellStart"/>
      <w:r w:rsidRPr="00FA5EC3">
        <w:rPr>
          <w:sz w:val="28"/>
          <w:szCs w:val="28"/>
          <w:lang w:val="uk-UA"/>
        </w:rPr>
        <w:t>the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top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security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challenges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of</w:t>
      </w:r>
      <w:proofErr w:type="spellEnd"/>
      <w:r w:rsidRPr="00FA5EC3">
        <w:rPr>
          <w:sz w:val="28"/>
          <w:szCs w:val="28"/>
          <w:lang w:val="uk-UA"/>
        </w:rPr>
        <w:t xml:space="preserve"> 2008. [</w:t>
      </w:r>
      <w:proofErr w:type="spellStart"/>
      <w:r w:rsidRPr="00FA5EC3">
        <w:rPr>
          <w:sz w:val="28"/>
          <w:szCs w:val="28"/>
          <w:lang w:val="uk-UA"/>
        </w:rPr>
        <w:t>Ed</w:t>
      </w:r>
      <w:proofErr w:type="spellEnd"/>
      <w:r w:rsidRPr="00FA5EC3">
        <w:rPr>
          <w:sz w:val="28"/>
          <w:szCs w:val="28"/>
          <w:lang w:val="uk-UA"/>
        </w:rPr>
        <w:t xml:space="preserve">. </w:t>
      </w:r>
      <w:proofErr w:type="spellStart"/>
      <w:r w:rsidRPr="00FA5EC3">
        <w:rPr>
          <w:sz w:val="28"/>
          <w:szCs w:val="28"/>
          <w:lang w:val="uk-UA"/>
        </w:rPr>
        <w:t>by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Carola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McGiffert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and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Craig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Cohen</w:t>
      </w:r>
      <w:proofErr w:type="spellEnd"/>
      <w:r w:rsidRPr="00FA5EC3">
        <w:rPr>
          <w:sz w:val="28"/>
          <w:szCs w:val="28"/>
          <w:lang w:val="uk-UA"/>
        </w:rPr>
        <w:t xml:space="preserve">]. – </w:t>
      </w:r>
      <w:proofErr w:type="spellStart"/>
      <w:r w:rsidRPr="00FA5EC3">
        <w:rPr>
          <w:sz w:val="28"/>
          <w:szCs w:val="28"/>
          <w:lang w:val="uk-UA"/>
        </w:rPr>
        <w:t>Washington</w:t>
      </w:r>
      <w:proofErr w:type="spellEnd"/>
      <w:r w:rsidRPr="00FA5EC3">
        <w:rPr>
          <w:sz w:val="28"/>
          <w:szCs w:val="28"/>
          <w:lang w:val="uk-UA"/>
        </w:rPr>
        <w:t xml:space="preserve">: </w:t>
      </w:r>
      <w:proofErr w:type="spellStart"/>
      <w:r w:rsidRPr="00FA5EC3">
        <w:rPr>
          <w:sz w:val="28"/>
          <w:szCs w:val="28"/>
          <w:lang w:val="uk-UA"/>
        </w:rPr>
        <w:t>The</w:t>
      </w:r>
      <w:proofErr w:type="spellEnd"/>
      <w:r w:rsidRPr="00FA5EC3">
        <w:rPr>
          <w:sz w:val="28"/>
          <w:szCs w:val="28"/>
          <w:lang w:val="uk-UA"/>
        </w:rPr>
        <w:t xml:space="preserve"> CSIS </w:t>
      </w:r>
      <w:proofErr w:type="spellStart"/>
      <w:r w:rsidRPr="00FA5EC3">
        <w:rPr>
          <w:sz w:val="28"/>
          <w:szCs w:val="28"/>
          <w:lang w:val="uk-UA"/>
        </w:rPr>
        <w:t>Press</w:t>
      </w:r>
      <w:proofErr w:type="spellEnd"/>
      <w:r w:rsidRPr="00FA5EC3">
        <w:rPr>
          <w:sz w:val="28"/>
          <w:szCs w:val="28"/>
          <w:lang w:val="uk-UA"/>
        </w:rPr>
        <w:t>, 2007. – Р. 55–57.</w:t>
      </w:r>
    </w:p>
    <w:p w:rsidR="00007743" w:rsidRPr="00FA5EC3" w:rsidRDefault="00007743" w:rsidP="000077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Aronson</w:t>
      </w:r>
      <w:proofErr w:type="spellEnd"/>
      <w:r w:rsidRPr="00FA5EC3">
        <w:rPr>
          <w:sz w:val="28"/>
          <w:szCs w:val="28"/>
          <w:lang w:val="uk-UA"/>
        </w:rPr>
        <w:t xml:space="preserve"> J. </w:t>
      </w:r>
      <w:proofErr w:type="spellStart"/>
      <w:r w:rsidRPr="00FA5EC3">
        <w:rPr>
          <w:sz w:val="28"/>
          <w:szCs w:val="28"/>
          <w:lang w:val="uk-UA"/>
        </w:rPr>
        <w:t>International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Communications</w:t>
      </w:r>
      <w:proofErr w:type="spellEnd"/>
      <w:r w:rsidRPr="00FA5EC3">
        <w:rPr>
          <w:sz w:val="28"/>
          <w:szCs w:val="28"/>
          <w:lang w:val="uk-UA"/>
        </w:rPr>
        <w:t xml:space="preserve"> [</w:t>
      </w:r>
      <w:proofErr w:type="spellStart"/>
      <w:r w:rsidRPr="00FA5EC3">
        <w:rPr>
          <w:sz w:val="28"/>
          <w:szCs w:val="28"/>
          <w:lang w:val="uk-UA"/>
        </w:rPr>
        <w:t>Electronic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resource</w:t>
      </w:r>
      <w:proofErr w:type="spellEnd"/>
      <w:r w:rsidRPr="00FA5EC3">
        <w:rPr>
          <w:sz w:val="28"/>
          <w:szCs w:val="28"/>
          <w:lang w:val="uk-UA"/>
        </w:rPr>
        <w:t xml:space="preserve">] / </w:t>
      </w:r>
      <w:proofErr w:type="spellStart"/>
      <w:r w:rsidRPr="00FA5EC3">
        <w:rPr>
          <w:sz w:val="28"/>
          <w:szCs w:val="28"/>
          <w:lang w:val="uk-UA"/>
        </w:rPr>
        <w:t>Jonathan</w:t>
      </w:r>
      <w:proofErr w:type="spellEnd"/>
      <w:r w:rsidRPr="00FA5EC3">
        <w:rPr>
          <w:sz w:val="28"/>
          <w:szCs w:val="28"/>
          <w:lang w:val="uk-UA"/>
        </w:rPr>
        <w:t xml:space="preserve"> D. </w:t>
      </w:r>
      <w:proofErr w:type="spellStart"/>
      <w:r w:rsidRPr="00FA5EC3">
        <w:rPr>
          <w:sz w:val="28"/>
          <w:szCs w:val="28"/>
          <w:lang w:val="uk-UA"/>
        </w:rPr>
        <w:t>Aronson</w:t>
      </w:r>
      <w:proofErr w:type="spellEnd"/>
      <w:r w:rsidRPr="00FA5EC3">
        <w:rPr>
          <w:sz w:val="28"/>
          <w:szCs w:val="28"/>
          <w:lang w:val="uk-UA"/>
        </w:rPr>
        <w:t xml:space="preserve"> // </w:t>
      </w:r>
      <w:proofErr w:type="spellStart"/>
      <w:r w:rsidRPr="00FA5EC3">
        <w:rPr>
          <w:sz w:val="28"/>
          <w:szCs w:val="28"/>
          <w:lang w:val="uk-UA"/>
        </w:rPr>
        <w:t>Oxford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Bibliographies</w:t>
      </w:r>
      <w:proofErr w:type="spellEnd"/>
      <w:r w:rsidRPr="00FA5EC3">
        <w:rPr>
          <w:sz w:val="28"/>
          <w:szCs w:val="28"/>
          <w:lang w:val="uk-UA"/>
        </w:rPr>
        <w:t xml:space="preserve">. – 2017. – </w:t>
      </w:r>
      <w:proofErr w:type="spellStart"/>
      <w:r w:rsidRPr="00FA5EC3">
        <w:rPr>
          <w:sz w:val="28"/>
          <w:szCs w:val="28"/>
          <w:lang w:val="uk-UA"/>
        </w:rPr>
        <w:t>Mode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of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access</w:t>
      </w:r>
      <w:proofErr w:type="spellEnd"/>
      <w:r w:rsidRPr="00FA5EC3">
        <w:rPr>
          <w:sz w:val="28"/>
          <w:szCs w:val="28"/>
          <w:lang w:val="uk-UA"/>
        </w:rPr>
        <w:t xml:space="preserve"> : http://www.oxfordbibliographies.com/view/document/obo-9780199756841/obo-9780199756841-0066.xml. – </w:t>
      </w:r>
      <w:proofErr w:type="spellStart"/>
      <w:r w:rsidRPr="00FA5EC3">
        <w:rPr>
          <w:sz w:val="28"/>
          <w:szCs w:val="28"/>
          <w:lang w:val="uk-UA"/>
        </w:rPr>
        <w:t>Title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from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the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screen</w:t>
      </w:r>
      <w:proofErr w:type="spellEnd"/>
      <w:r w:rsidRPr="00FA5EC3">
        <w:rPr>
          <w:sz w:val="28"/>
          <w:szCs w:val="28"/>
          <w:lang w:val="uk-UA"/>
        </w:rPr>
        <w:t>.</w:t>
      </w:r>
    </w:p>
    <w:p w:rsidR="00007743" w:rsidRPr="00FA5EC3" w:rsidRDefault="00007743" w:rsidP="000077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Bassette</w:t>
      </w:r>
      <w:proofErr w:type="spellEnd"/>
      <w:r w:rsidRPr="00FA5EC3">
        <w:rPr>
          <w:sz w:val="28"/>
          <w:szCs w:val="28"/>
          <w:lang w:val="uk-UA"/>
        </w:rPr>
        <w:t xml:space="preserve">, </w:t>
      </w:r>
      <w:proofErr w:type="spellStart"/>
      <w:r w:rsidRPr="00FA5EC3">
        <w:rPr>
          <w:sz w:val="28"/>
          <w:szCs w:val="28"/>
          <w:lang w:val="uk-UA"/>
        </w:rPr>
        <w:t>Guy</w:t>
      </w:r>
      <w:proofErr w:type="spellEnd"/>
      <w:r w:rsidRPr="00FA5EC3">
        <w:rPr>
          <w:sz w:val="28"/>
          <w:szCs w:val="28"/>
          <w:lang w:val="uk-UA"/>
        </w:rPr>
        <w:t xml:space="preserve">. 2006. </w:t>
      </w:r>
      <w:proofErr w:type="spellStart"/>
      <w:r w:rsidRPr="00FA5EC3">
        <w:rPr>
          <w:sz w:val="28"/>
          <w:szCs w:val="28"/>
          <w:lang w:val="uk-UA"/>
        </w:rPr>
        <w:t>People</w:t>
      </w:r>
      <w:proofErr w:type="spellEnd"/>
      <w:r w:rsidRPr="00FA5EC3">
        <w:rPr>
          <w:sz w:val="28"/>
          <w:szCs w:val="28"/>
          <w:lang w:val="uk-UA"/>
        </w:rPr>
        <w:t xml:space="preserve">, </w:t>
      </w:r>
      <w:proofErr w:type="spellStart"/>
      <w:r w:rsidRPr="00FA5EC3">
        <w:rPr>
          <w:sz w:val="28"/>
          <w:szCs w:val="28"/>
          <w:lang w:val="uk-UA"/>
        </w:rPr>
        <w:t>Land</w:t>
      </w:r>
      <w:proofErr w:type="spellEnd"/>
      <w:r w:rsidRPr="00FA5EC3">
        <w:rPr>
          <w:sz w:val="28"/>
          <w:szCs w:val="28"/>
          <w:lang w:val="uk-UA"/>
        </w:rPr>
        <w:t xml:space="preserve">, </w:t>
      </w:r>
      <w:proofErr w:type="spellStart"/>
      <w:r w:rsidRPr="00FA5EC3">
        <w:rPr>
          <w:sz w:val="28"/>
          <w:szCs w:val="28"/>
          <w:lang w:val="uk-UA"/>
        </w:rPr>
        <w:t>and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Water</w:t>
      </w:r>
      <w:proofErr w:type="spellEnd"/>
      <w:r w:rsidRPr="00FA5EC3">
        <w:rPr>
          <w:sz w:val="28"/>
          <w:szCs w:val="28"/>
          <w:lang w:val="uk-UA"/>
        </w:rPr>
        <w:t xml:space="preserve">: </w:t>
      </w:r>
      <w:proofErr w:type="spellStart"/>
      <w:r w:rsidRPr="00FA5EC3">
        <w:rPr>
          <w:sz w:val="28"/>
          <w:szCs w:val="28"/>
          <w:lang w:val="uk-UA"/>
        </w:rPr>
        <w:t>Participatory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Development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Communication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for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Natural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Resource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Management</w:t>
      </w:r>
      <w:proofErr w:type="spellEnd"/>
      <w:r w:rsidRPr="00FA5EC3">
        <w:rPr>
          <w:sz w:val="28"/>
          <w:szCs w:val="28"/>
          <w:lang w:val="uk-UA"/>
        </w:rPr>
        <w:t xml:space="preserve">. </w:t>
      </w:r>
      <w:proofErr w:type="spellStart"/>
      <w:r w:rsidRPr="00FA5EC3">
        <w:rPr>
          <w:sz w:val="28"/>
          <w:szCs w:val="28"/>
          <w:lang w:val="uk-UA"/>
        </w:rPr>
        <w:t>London</w:t>
      </w:r>
      <w:proofErr w:type="spellEnd"/>
      <w:r w:rsidRPr="00FA5EC3">
        <w:rPr>
          <w:sz w:val="28"/>
          <w:szCs w:val="28"/>
          <w:lang w:val="uk-UA"/>
        </w:rPr>
        <w:t xml:space="preserve">: </w:t>
      </w:r>
      <w:proofErr w:type="spellStart"/>
      <w:r w:rsidRPr="00FA5EC3">
        <w:rPr>
          <w:sz w:val="28"/>
          <w:szCs w:val="28"/>
          <w:lang w:val="uk-UA"/>
        </w:rPr>
        <w:t>Earthscan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and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the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International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Development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Research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Centre</w:t>
      </w:r>
      <w:proofErr w:type="spellEnd"/>
    </w:p>
    <w:p w:rsidR="00007743" w:rsidRPr="00FA5EC3" w:rsidRDefault="00007743" w:rsidP="000077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lastRenderedPageBreak/>
        <w:t>Berkowitz</w:t>
      </w:r>
      <w:proofErr w:type="spellEnd"/>
      <w:r w:rsidRPr="00FA5EC3">
        <w:rPr>
          <w:sz w:val="28"/>
          <w:szCs w:val="28"/>
          <w:lang w:val="uk-UA"/>
        </w:rPr>
        <w:t xml:space="preserve"> B. D. (2003). </w:t>
      </w:r>
      <w:proofErr w:type="spellStart"/>
      <w:r w:rsidRPr="00FA5EC3">
        <w:rPr>
          <w:sz w:val="28"/>
          <w:szCs w:val="28"/>
          <w:lang w:val="uk-UA"/>
        </w:rPr>
        <w:t>The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new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face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of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war</w:t>
      </w:r>
      <w:proofErr w:type="spellEnd"/>
      <w:r w:rsidRPr="00FA5EC3">
        <w:rPr>
          <w:sz w:val="28"/>
          <w:szCs w:val="28"/>
          <w:lang w:val="uk-UA"/>
        </w:rPr>
        <w:t xml:space="preserve">: </w:t>
      </w:r>
      <w:proofErr w:type="spellStart"/>
      <w:r w:rsidRPr="00FA5EC3">
        <w:rPr>
          <w:sz w:val="28"/>
          <w:szCs w:val="28"/>
          <w:lang w:val="uk-UA"/>
        </w:rPr>
        <w:t>How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war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will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be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fought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in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the</w:t>
      </w:r>
      <w:proofErr w:type="spellEnd"/>
      <w:r w:rsidRPr="00FA5EC3">
        <w:rPr>
          <w:sz w:val="28"/>
          <w:szCs w:val="28"/>
          <w:lang w:val="uk-UA"/>
        </w:rPr>
        <w:t xml:space="preserve"> 21st </w:t>
      </w:r>
      <w:proofErr w:type="spellStart"/>
      <w:r w:rsidRPr="00FA5EC3">
        <w:rPr>
          <w:sz w:val="28"/>
          <w:szCs w:val="28"/>
          <w:lang w:val="uk-UA"/>
        </w:rPr>
        <w:t>century</w:t>
      </w:r>
      <w:proofErr w:type="spellEnd"/>
      <w:r w:rsidRPr="00FA5EC3">
        <w:rPr>
          <w:sz w:val="28"/>
          <w:szCs w:val="28"/>
          <w:lang w:val="uk-UA"/>
        </w:rPr>
        <w:t xml:space="preserve"> / B. </w:t>
      </w:r>
      <w:proofErr w:type="spellStart"/>
      <w:r w:rsidRPr="00FA5EC3">
        <w:rPr>
          <w:sz w:val="28"/>
          <w:szCs w:val="28"/>
          <w:lang w:val="uk-UA"/>
        </w:rPr>
        <w:t>D.Berkowitz</w:t>
      </w:r>
      <w:proofErr w:type="spellEnd"/>
      <w:r w:rsidRPr="00FA5EC3">
        <w:rPr>
          <w:sz w:val="28"/>
          <w:szCs w:val="28"/>
          <w:lang w:val="uk-UA"/>
        </w:rPr>
        <w:t xml:space="preserve">. – </w:t>
      </w:r>
      <w:proofErr w:type="spellStart"/>
      <w:r w:rsidRPr="00FA5EC3">
        <w:rPr>
          <w:sz w:val="28"/>
          <w:szCs w:val="28"/>
          <w:lang w:val="uk-UA"/>
        </w:rPr>
        <w:t>New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York</w:t>
      </w:r>
      <w:proofErr w:type="spellEnd"/>
      <w:r w:rsidRPr="00FA5EC3">
        <w:rPr>
          <w:sz w:val="28"/>
          <w:szCs w:val="28"/>
          <w:lang w:val="uk-UA"/>
        </w:rPr>
        <w:t xml:space="preserve">: </w:t>
      </w:r>
      <w:proofErr w:type="spellStart"/>
      <w:r w:rsidRPr="00FA5EC3">
        <w:rPr>
          <w:sz w:val="28"/>
          <w:szCs w:val="28"/>
          <w:lang w:val="uk-UA"/>
        </w:rPr>
        <w:t>Free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Press</w:t>
      </w:r>
      <w:proofErr w:type="spellEnd"/>
      <w:r w:rsidRPr="00FA5EC3">
        <w:rPr>
          <w:sz w:val="28"/>
          <w:szCs w:val="28"/>
          <w:lang w:val="uk-UA"/>
        </w:rPr>
        <w:t>, 2007. – 272 p.</w:t>
      </w:r>
    </w:p>
    <w:p w:rsidR="00007743" w:rsidRPr="00FA5EC3" w:rsidRDefault="00007743" w:rsidP="000077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Dance</w:t>
      </w:r>
      <w:proofErr w:type="spellEnd"/>
      <w:r w:rsidRPr="00FA5EC3">
        <w:rPr>
          <w:sz w:val="28"/>
          <w:szCs w:val="28"/>
          <w:lang w:val="uk-UA"/>
        </w:rPr>
        <w:t xml:space="preserve"> F. </w:t>
      </w:r>
      <w:proofErr w:type="spellStart"/>
      <w:r w:rsidRPr="00FA5EC3">
        <w:rPr>
          <w:sz w:val="28"/>
          <w:szCs w:val="28"/>
          <w:lang w:val="uk-UA"/>
        </w:rPr>
        <w:t>The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‘Concept’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of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Communication</w:t>
      </w:r>
      <w:proofErr w:type="spellEnd"/>
      <w:r w:rsidRPr="00FA5EC3">
        <w:rPr>
          <w:sz w:val="28"/>
          <w:szCs w:val="28"/>
          <w:lang w:val="uk-UA"/>
        </w:rPr>
        <w:t xml:space="preserve"> // </w:t>
      </w:r>
      <w:proofErr w:type="spellStart"/>
      <w:r w:rsidRPr="00FA5EC3">
        <w:rPr>
          <w:sz w:val="28"/>
          <w:szCs w:val="28"/>
          <w:lang w:val="uk-UA"/>
        </w:rPr>
        <w:t>Journal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of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Communication</w:t>
      </w:r>
      <w:proofErr w:type="spellEnd"/>
      <w:r w:rsidRPr="00FA5EC3">
        <w:rPr>
          <w:sz w:val="28"/>
          <w:szCs w:val="28"/>
          <w:lang w:val="uk-UA"/>
        </w:rPr>
        <w:t xml:space="preserve">. – </w:t>
      </w:r>
      <w:proofErr w:type="spellStart"/>
      <w:r w:rsidRPr="00FA5EC3">
        <w:rPr>
          <w:sz w:val="28"/>
          <w:szCs w:val="28"/>
          <w:lang w:val="uk-UA"/>
        </w:rPr>
        <w:t>Vol</w:t>
      </w:r>
      <w:proofErr w:type="spellEnd"/>
      <w:r w:rsidRPr="00FA5EC3">
        <w:rPr>
          <w:sz w:val="28"/>
          <w:szCs w:val="28"/>
          <w:lang w:val="uk-UA"/>
        </w:rPr>
        <w:t xml:space="preserve">. 20. – </w:t>
      </w:r>
      <w:proofErr w:type="spellStart"/>
      <w:r w:rsidRPr="00FA5EC3">
        <w:rPr>
          <w:sz w:val="28"/>
          <w:szCs w:val="28"/>
          <w:lang w:val="uk-UA"/>
        </w:rPr>
        <w:t>Issue</w:t>
      </w:r>
      <w:proofErr w:type="spellEnd"/>
      <w:r w:rsidRPr="00FA5EC3">
        <w:rPr>
          <w:sz w:val="28"/>
          <w:szCs w:val="28"/>
          <w:lang w:val="uk-UA"/>
        </w:rPr>
        <w:t xml:space="preserve"> 2. – 1 </w:t>
      </w:r>
      <w:proofErr w:type="spellStart"/>
      <w:r w:rsidRPr="00FA5EC3">
        <w:rPr>
          <w:sz w:val="28"/>
          <w:szCs w:val="28"/>
          <w:lang w:val="uk-UA"/>
        </w:rPr>
        <w:t>June</w:t>
      </w:r>
      <w:proofErr w:type="spellEnd"/>
      <w:r w:rsidRPr="00FA5EC3">
        <w:rPr>
          <w:sz w:val="28"/>
          <w:szCs w:val="28"/>
          <w:lang w:val="uk-UA"/>
        </w:rPr>
        <w:t xml:space="preserve"> 1970. – </w:t>
      </w:r>
      <w:proofErr w:type="spellStart"/>
      <w:r w:rsidRPr="00FA5EC3">
        <w:rPr>
          <w:sz w:val="28"/>
          <w:szCs w:val="28"/>
          <w:lang w:val="uk-UA"/>
        </w:rPr>
        <w:t>Pp</w:t>
      </w:r>
      <w:proofErr w:type="spellEnd"/>
      <w:r w:rsidRPr="00FA5EC3">
        <w:rPr>
          <w:sz w:val="28"/>
          <w:szCs w:val="28"/>
          <w:lang w:val="uk-UA"/>
        </w:rPr>
        <w:t>. 201-210.</w:t>
      </w:r>
    </w:p>
    <w:p w:rsidR="00007743" w:rsidRPr="00FA5EC3" w:rsidRDefault="00007743" w:rsidP="000077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Davidson</w:t>
      </w:r>
      <w:proofErr w:type="spellEnd"/>
      <w:r w:rsidRPr="00FA5EC3">
        <w:rPr>
          <w:sz w:val="28"/>
          <w:szCs w:val="28"/>
          <w:lang w:val="uk-UA"/>
        </w:rPr>
        <w:t xml:space="preserve"> W., </w:t>
      </w:r>
      <w:proofErr w:type="spellStart"/>
      <w:r w:rsidRPr="00FA5EC3">
        <w:rPr>
          <w:sz w:val="28"/>
          <w:szCs w:val="28"/>
          <w:lang w:val="uk-UA"/>
        </w:rPr>
        <w:t>George</w:t>
      </w:r>
      <w:proofErr w:type="spellEnd"/>
      <w:r w:rsidRPr="00FA5EC3">
        <w:rPr>
          <w:sz w:val="28"/>
          <w:szCs w:val="28"/>
          <w:lang w:val="uk-UA"/>
        </w:rPr>
        <w:t xml:space="preserve"> A. </w:t>
      </w:r>
      <w:proofErr w:type="spellStart"/>
      <w:r w:rsidRPr="00FA5EC3">
        <w:rPr>
          <w:sz w:val="28"/>
          <w:szCs w:val="28"/>
          <w:lang w:val="uk-UA"/>
        </w:rPr>
        <w:t>An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Outline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for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the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Study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of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International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Political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Communications</w:t>
      </w:r>
      <w:proofErr w:type="spellEnd"/>
      <w:r w:rsidRPr="00FA5EC3">
        <w:rPr>
          <w:sz w:val="28"/>
          <w:szCs w:val="28"/>
          <w:lang w:val="uk-UA"/>
        </w:rPr>
        <w:t xml:space="preserve"> // </w:t>
      </w:r>
      <w:proofErr w:type="spellStart"/>
      <w:r w:rsidRPr="00FA5EC3">
        <w:rPr>
          <w:sz w:val="28"/>
          <w:szCs w:val="28"/>
          <w:lang w:val="uk-UA"/>
        </w:rPr>
        <w:t>Public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Opinion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Quarterly</w:t>
      </w:r>
      <w:proofErr w:type="spellEnd"/>
      <w:r w:rsidRPr="00FA5EC3">
        <w:rPr>
          <w:sz w:val="28"/>
          <w:szCs w:val="28"/>
          <w:lang w:val="uk-UA"/>
        </w:rPr>
        <w:t xml:space="preserve">. – </w:t>
      </w:r>
      <w:proofErr w:type="spellStart"/>
      <w:r w:rsidRPr="00FA5EC3">
        <w:rPr>
          <w:sz w:val="28"/>
          <w:szCs w:val="28"/>
          <w:lang w:val="uk-UA"/>
        </w:rPr>
        <w:t>Vol</w:t>
      </w:r>
      <w:proofErr w:type="spellEnd"/>
      <w:r w:rsidRPr="00FA5EC3">
        <w:rPr>
          <w:sz w:val="28"/>
          <w:szCs w:val="28"/>
          <w:lang w:val="uk-UA"/>
        </w:rPr>
        <w:t xml:space="preserve">. 16. – </w:t>
      </w:r>
      <w:proofErr w:type="spellStart"/>
      <w:r w:rsidRPr="00FA5EC3">
        <w:rPr>
          <w:sz w:val="28"/>
          <w:szCs w:val="28"/>
          <w:lang w:val="uk-UA"/>
        </w:rPr>
        <w:t>Issue</w:t>
      </w:r>
      <w:proofErr w:type="spellEnd"/>
      <w:r w:rsidRPr="00FA5EC3">
        <w:rPr>
          <w:sz w:val="28"/>
          <w:szCs w:val="28"/>
          <w:lang w:val="uk-UA"/>
        </w:rPr>
        <w:t xml:space="preserve"> 4. – 1 </w:t>
      </w:r>
      <w:proofErr w:type="spellStart"/>
      <w:r w:rsidRPr="00FA5EC3">
        <w:rPr>
          <w:sz w:val="28"/>
          <w:szCs w:val="28"/>
          <w:lang w:val="uk-UA"/>
        </w:rPr>
        <w:t>January</w:t>
      </w:r>
      <w:proofErr w:type="spellEnd"/>
      <w:r w:rsidRPr="00FA5EC3">
        <w:rPr>
          <w:sz w:val="28"/>
          <w:szCs w:val="28"/>
          <w:lang w:val="uk-UA"/>
        </w:rPr>
        <w:t xml:space="preserve"> 1952. – </w:t>
      </w:r>
      <w:proofErr w:type="spellStart"/>
      <w:r w:rsidRPr="00FA5EC3">
        <w:rPr>
          <w:sz w:val="28"/>
          <w:szCs w:val="28"/>
          <w:lang w:val="uk-UA"/>
        </w:rPr>
        <w:t>Pp</w:t>
      </w:r>
      <w:proofErr w:type="spellEnd"/>
      <w:r w:rsidRPr="00FA5EC3">
        <w:rPr>
          <w:sz w:val="28"/>
          <w:szCs w:val="28"/>
          <w:lang w:val="uk-UA"/>
        </w:rPr>
        <w:t>. 501–511.</w:t>
      </w:r>
    </w:p>
    <w:p w:rsidR="00007743" w:rsidRPr="00FA5EC3" w:rsidRDefault="00007743" w:rsidP="000077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Downing</w:t>
      </w:r>
      <w:proofErr w:type="spellEnd"/>
      <w:r w:rsidRPr="00FA5EC3">
        <w:rPr>
          <w:sz w:val="28"/>
          <w:szCs w:val="28"/>
          <w:lang w:val="uk-UA"/>
        </w:rPr>
        <w:t xml:space="preserve">, </w:t>
      </w:r>
      <w:proofErr w:type="spellStart"/>
      <w:r w:rsidRPr="00FA5EC3">
        <w:rPr>
          <w:sz w:val="28"/>
          <w:szCs w:val="28"/>
          <w:lang w:val="uk-UA"/>
        </w:rPr>
        <w:t>John</w:t>
      </w:r>
      <w:proofErr w:type="spellEnd"/>
      <w:r w:rsidRPr="00FA5EC3">
        <w:rPr>
          <w:sz w:val="28"/>
          <w:szCs w:val="28"/>
          <w:lang w:val="uk-UA"/>
        </w:rPr>
        <w:t xml:space="preserve"> D. H. "</w:t>
      </w:r>
      <w:proofErr w:type="spellStart"/>
      <w:r w:rsidRPr="00FA5EC3">
        <w:rPr>
          <w:sz w:val="28"/>
          <w:szCs w:val="28"/>
          <w:lang w:val="uk-UA"/>
        </w:rPr>
        <w:t>International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Communication</w:t>
      </w:r>
      <w:proofErr w:type="spellEnd"/>
      <w:r w:rsidRPr="00FA5EC3">
        <w:rPr>
          <w:sz w:val="28"/>
          <w:szCs w:val="28"/>
          <w:lang w:val="uk-UA"/>
        </w:rPr>
        <w:t xml:space="preserve">". </w:t>
      </w:r>
      <w:proofErr w:type="spellStart"/>
      <w:r w:rsidRPr="00FA5EC3">
        <w:rPr>
          <w:sz w:val="28"/>
          <w:szCs w:val="28"/>
          <w:lang w:val="uk-UA"/>
        </w:rPr>
        <w:t>The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International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Encyclopedia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of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Communication</w:t>
      </w:r>
      <w:proofErr w:type="spellEnd"/>
      <w:r w:rsidRPr="00FA5EC3">
        <w:rPr>
          <w:sz w:val="28"/>
          <w:szCs w:val="28"/>
          <w:lang w:val="uk-UA"/>
        </w:rPr>
        <w:t xml:space="preserve">. </w:t>
      </w:r>
      <w:proofErr w:type="spellStart"/>
      <w:r w:rsidRPr="00FA5EC3">
        <w:rPr>
          <w:sz w:val="28"/>
          <w:szCs w:val="28"/>
          <w:lang w:val="uk-UA"/>
        </w:rPr>
        <w:t>Blackwell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Publishing</w:t>
      </w:r>
      <w:proofErr w:type="spellEnd"/>
      <w:r w:rsidRPr="00FA5EC3">
        <w:rPr>
          <w:sz w:val="28"/>
          <w:szCs w:val="28"/>
          <w:lang w:val="uk-UA"/>
        </w:rPr>
        <w:t xml:space="preserve">. </w:t>
      </w:r>
      <w:proofErr w:type="spellStart"/>
      <w:r w:rsidRPr="00FA5EC3">
        <w:rPr>
          <w:sz w:val="28"/>
          <w:szCs w:val="28"/>
          <w:lang w:val="uk-UA"/>
        </w:rPr>
        <w:t>Retrieved</w:t>
      </w:r>
      <w:proofErr w:type="spellEnd"/>
      <w:r w:rsidRPr="00FA5EC3">
        <w:rPr>
          <w:sz w:val="28"/>
          <w:szCs w:val="28"/>
          <w:lang w:val="uk-UA"/>
        </w:rPr>
        <w:t xml:space="preserve"> 21 </w:t>
      </w:r>
      <w:proofErr w:type="spellStart"/>
      <w:r w:rsidRPr="00FA5EC3">
        <w:rPr>
          <w:sz w:val="28"/>
          <w:szCs w:val="28"/>
          <w:lang w:val="uk-UA"/>
        </w:rPr>
        <w:t>November</w:t>
      </w:r>
      <w:proofErr w:type="spellEnd"/>
      <w:r w:rsidRPr="00FA5EC3">
        <w:rPr>
          <w:sz w:val="28"/>
          <w:szCs w:val="28"/>
          <w:lang w:val="uk-UA"/>
        </w:rPr>
        <w:t xml:space="preserve"> 2012.</w:t>
      </w:r>
    </w:p>
    <w:p w:rsidR="00007743" w:rsidRPr="00FA5EC3" w:rsidRDefault="00007743" w:rsidP="00AC4E1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Ely</w:t>
      </w:r>
      <w:proofErr w:type="spellEnd"/>
      <w:r w:rsidRPr="00FA5EC3">
        <w:rPr>
          <w:sz w:val="28"/>
          <w:szCs w:val="28"/>
          <w:lang w:val="uk-UA"/>
        </w:rPr>
        <w:t xml:space="preserve">, </w:t>
      </w:r>
      <w:proofErr w:type="spellStart"/>
      <w:r w:rsidRPr="00FA5EC3">
        <w:rPr>
          <w:sz w:val="28"/>
          <w:szCs w:val="28"/>
          <w:lang w:val="uk-UA"/>
        </w:rPr>
        <w:t>Adrian</w:t>
      </w:r>
      <w:proofErr w:type="spellEnd"/>
      <w:r w:rsidRPr="00FA5EC3">
        <w:rPr>
          <w:sz w:val="28"/>
          <w:szCs w:val="28"/>
          <w:lang w:val="uk-UA"/>
        </w:rPr>
        <w:t xml:space="preserve">, </w:t>
      </w:r>
      <w:proofErr w:type="spellStart"/>
      <w:r w:rsidRPr="00FA5EC3">
        <w:rPr>
          <w:sz w:val="28"/>
          <w:szCs w:val="28"/>
          <w:lang w:val="uk-UA"/>
        </w:rPr>
        <w:t>Zwanenberg</w:t>
      </w:r>
      <w:proofErr w:type="spellEnd"/>
      <w:r w:rsidRPr="00FA5EC3">
        <w:rPr>
          <w:sz w:val="28"/>
          <w:szCs w:val="28"/>
          <w:lang w:val="uk-UA"/>
        </w:rPr>
        <w:t xml:space="preserve">, </w:t>
      </w:r>
      <w:proofErr w:type="spellStart"/>
      <w:r w:rsidRPr="00FA5EC3">
        <w:rPr>
          <w:sz w:val="28"/>
          <w:szCs w:val="28"/>
          <w:lang w:val="uk-UA"/>
        </w:rPr>
        <w:t>Patrick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Van</w:t>
      </w:r>
      <w:proofErr w:type="spellEnd"/>
      <w:r w:rsidRPr="00FA5EC3">
        <w:rPr>
          <w:sz w:val="28"/>
          <w:szCs w:val="28"/>
          <w:lang w:val="uk-UA"/>
        </w:rPr>
        <w:t xml:space="preserve">, &amp; </w:t>
      </w:r>
      <w:proofErr w:type="spellStart"/>
      <w:r w:rsidRPr="00FA5EC3">
        <w:rPr>
          <w:sz w:val="28"/>
          <w:szCs w:val="28"/>
          <w:lang w:val="uk-UA"/>
        </w:rPr>
        <w:t>Stirling</w:t>
      </w:r>
      <w:proofErr w:type="spellEnd"/>
      <w:r w:rsidRPr="00FA5EC3">
        <w:rPr>
          <w:sz w:val="28"/>
          <w:szCs w:val="28"/>
          <w:lang w:val="uk-UA"/>
        </w:rPr>
        <w:t xml:space="preserve">, </w:t>
      </w:r>
      <w:proofErr w:type="spellStart"/>
      <w:r w:rsidRPr="00FA5EC3">
        <w:rPr>
          <w:sz w:val="28"/>
          <w:szCs w:val="28"/>
          <w:lang w:val="uk-UA"/>
        </w:rPr>
        <w:t>Andrew</w:t>
      </w:r>
      <w:proofErr w:type="spellEnd"/>
      <w:r w:rsidRPr="00FA5EC3">
        <w:rPr>
          <w:sz w:val="28"/>
          <w:szCs w:val="28"/>
          <w:lang w:val="uk-UA"/>
        </w:rPr>
        <w:t xml:space="preserve"> (2010). </w:t>
      </w:r>
      <w:proofErr w:type="spellStart"/>
      <w:r w:rsidRPr="00FA5EC3">
        <w:rPr>
          <w:sz w:val="28"/>
          <w:szCs w:val="28"/>
          <w:lang w:val="uk-UA"/>
        </w:rPr>
        <w:t>Technology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Assessment</w:t>
      </w:r>
      <w:proofErr w:type="spellEnd"/>
      <w:r w:rsidRPr="00FA5EC3">
        <w:rPr>
          <w:sz w:val="28"/>
          <w:szCs w:val="28"/>
          <w:lang w:val="uk-UA"/>
        </w:rPr>
        <w:t xml:space="preserve">: </w:t>
      </w:r>
      <w:proofErr w:type="spellStart"/>
      <w:r w:rsidRPr="00FA5EC3">
        <w:rPr>
          <w:sz w:val="28"/>
          <w:szCs w:val="28"/>
          <w:lang w:val="uk-UA"/>
        </w:rPr>
        <w:t>New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Model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of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Technology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Assessment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for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Development</w:t>
      </w:r>
      <w:proofErr w:type="spellEnd"/>
      <w:r w:rsidRPr="00FA5EC3">
        <w:rPr>
          <w:sz w:val="28"/>
          <w:szCs w:val="28"/>
          <w:lang w:val="uk-UA"/>
        </w:rPr>
        <w:t xml:space="preserve">. </w:t>
      </w:r>
      <w:proofErr w:type="spellStart"/>
      <w:r w:rsidRPr="00FA5EC3">
        <w:rPr>
          <w:sz w:val="28"/>
          <w:szCs w:val="28"/>
          <w:lang w:val="uk-UA"/>
        </w:rPr>
        <w:t>Accessed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online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from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hyperlink r:id="rId8" w:history="1">
        <w:r w:rsidR="00AC4E10" w:rsidRPr="00AC4E10">
          <w:rPr>
            <w:rStyle w:val="a4"/>
            <w:color w:val="auto"/>
            <w:sz w:val="28"/>
            <w:szCs w:val="28"/>
            <w:u w:val="none"/>
            <w:lang w:val="uk-UA"/>
          </w:rPr>
          <w:t>http://steps-centre.org/wp-content/uploads/Technology_Assessment.pdf</w:t>
        </w:r>
      </w:hyperlink>
      <w:r w:rsidR="00AC4E10">
        <w:rPr>
          <w:sz w:val="28"/>
          <w:szCs w:val="28"/>
          <w:lang w:val="uk-UA"/>
        </w:rPr>
        <w:t xml:space="preserve"> Дата звернення: 2.05</w:t>
      </w:r>
      <w:r w:rsidR="00AC4E10" w:rsidRPr="00AC4E10">
        <w:rPr>
          <w:sz w:val="28"/>
          <w:szCs w:val="28"/>
          <w:lang w:val="uk-UA"/>
        </w:rPr>
        <w:t>.202</w:t>
      </w:r>
      <w:r w:rsidR="00AC4E10">
        <w:rPr>
          <w:sz w:val="28"/>
          <w:szCs w:val="28"/>
          <w:lang w:val="uk-UA"/>
        </w:rPr>
        <w:t>1</w:t>
      </w:r>
    </w:p>
    <w:p w:rsidR="00007743" w:rsidRPr="00FA5EC3" w:rsidRDefault="00007743" w:rsidP="000077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Food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and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Agriculture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Organization</w:t>
      </w:r>
      <w:proofErr w:type="spellEnd"/>
      <w:r w:rsidRPr="00FA5EC3">
        <w:rPr>
          <w:sz w:val="28"/>
          <w:szCs w:val="28"/>
          <w:lang w:val="uk-UA"/>
        </w:rPr>
        <w:t>. "</w:t>
      </w:r>
      <w:proofErr w:type="spellStart"/>
      <w:r w:rsidRPr="00FA5EC3">
        <w:rPr>
          <w:sz w:val="28"/>
          <w:szCs w:val="28"/>
          <w:lang w:val="uk-UA"/>
        </w:rPr>
        <w:t>Communication</w:t>
      </w:r>
      <w:proofErr w:type="spellEnd"/>
      <w:r w:rsidRPr="00FA5EC3">
        <w:rPr>
          <w:sz w:val="28"/>
          <w:szCs w:val="28"/>
          <w:lang w:val="uk-UA"/>
        </w:rPr>
        <w:t xml:space="preserve">: A </w:t>
      </w:r>
      <w:proofErr w:type="spellStart"/>
      <w:r w:rsidRPr="00FA5EC3">
        <w:rPr>
          <w:sz w:val="28"/>
          <w:szCs w:val="28"/>
          <w:lang w:val="uk-UA"/>
        </w:rPr>
        <w:t>key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to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human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development</w:t>
      </w:r>
      <w:proofErr w:type="spellEnd"/>
      <w:r w:rsidRPr="00FA5EC3">
        <w:rPr>
          <w:sz w:val="28"/>
          <w:szCs w:val="28"/>
          <w:lang w:val="uk-UA"/>
        </w:rPr>
        <w:t>"..</w:t>
      </w:r>
    </w:p>
    <w:p w:rsidR="00007743" w:rsidRPr="00FA5EC3" w:rsidRDefault="00007743" w:rsidP="000077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Galtung</w:t>
      </w:r>
      <w:proofErr w:type="spellEnd"/>
      <w:r w:rsidRPr="00FA5EC3">
        <w:rPr>
          <w:sz w:val="28"/>
          <w:szCs w:val="28"/>
          <w:lang w:val="uk-UA"/>
        </w:rPr>
        <w:t xml:space="preserve"> J. A </w:t>
      </w:r>
      <w:proofErr w:type="spellStart"/>
      <w:r w:rsidRPr="00FA5EC3">
        <w:rPr>
          <w:sz w:val="28"/>
          <w:szCs w:val="28"/>
          <w:lang w:val="uk-UA"/>
        </w:rPr>
        <w:t>Structural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Theory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of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Imperialism</w:t>
      </w:r>
      <w:proofErr w:type="spellEnd"/>
      <w:r w:rsidRPr="00FA5EC3">
        <w:rPr>
          <w:sz w:val="28"/>
          <w:szCs w:val="28"/>
          <w:lang w:val="uk-UA"/>
        </w:rPr>
        <w:t xml:space="preserve"> // </w:t>
      </w:r>
      <w:proofErr w:type="spellStart"/>
      <w:r w:rsidRPr="00FA5EC3">
        <w:rPr>
          <w:sz w:val="28"/>
          <w:szCs w:val="28"/>
          <w:lang w:val="uk-UA"/>
        </w:rPr>
        <w:t>Journal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of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Peace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Research</w:t>
      </w:r>
      <w:proofErr w:type="spellEnd"/>
      <w:r w:rsidRPr="00FA5EC3">
        <w:rPr>
          <w:sz w:val="28"/>
          <w:szCs w:val="28"/>
          <w:lang w:val="uk-UA"/>
        </w:rPr>
        <w:t xml:space="preserve">. – </w:t>
      </w:r>
      <w:proofErr w:type="spellStart"/>
      <w:r w:rsidRPr="00FA5EC3">
        <w:rPr>
          <w:sz w:val="28"/>
          <w:szCs w:val="28"/>
          <w:lang w:val="uk-UA"/>
        </w:rPr>
        <w:t>Vol</w:t>
      </w:r>
      <w:proofErr w:type="spellEnd"/>
      <w:r w:rsidRPr="00FA5EC3">
        <w:rPr>
          <w:sz w:val="28"/>
          <w:szCs w:val="28"/>
          <w:lang w:val="uk-UA"/>
        </w:rPr>
        <w:t xml:space="preserve">. 8. – </w:t>
      </w:r>
      <w:proofErr w:type="spellStart"/>
      <w:r w:rsidRPr="00FA5EC3">
        <w:rPr>
          <w:sz w:val="28"/>
          <w:szCs w:val="28"/>
          <w:lang w:val="uk-UA"/>
        </w:rPr>
        <w:t>No</w:t>
      </w:r>
      <w:proofErr w:type="spellEnd"/>
      <w:r w:rsidRPr="00FA5EC3">
        <w:rPr>
          <w:sz w:val="28"/>
          <w:szCs w:val="28"/>
          <w:lang w:val="uk-UA"/>
        </w:rPr>
        <w:t>. 2. – 1971. – P. 93.</w:t>
      </w:r>
    </w:p>
    <w:p w:rsidR="00007743" w:rsidRPr="00FA5EC3" w:rsidRDefault="00007743" w:rsidP="00AC4E1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Global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Trends</w:t>
      </w:r>
      <w:proofErr w:type="spellEnd"/>
      <w:r w:rsidRPr="00FA5EC3">
        <w:rPr>
          <w:sz w:val="28"/>
          <w:szCs w:val="28"/>
          <w:lang w:val="uk-UA"/>
        </w:rPr>
        <w:t xml:space="preserve"> 2025: A </w:t>
      </w:r>
      <w:proofErr w:type="spellStart"/>
      <w:r w:rsidRPr="00FA5EC3">
        <w:rPr>
          <w:sz w:val="28"/>
          <w:szCs w:val="28"/>
          <w:lang w:val="uk-UA"/>
        </w:rPr>
        <w:t>Transformed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World</w:t>
      </w:r>
      <w:proofErr w:type="spellEnd"/>
      <w:r w:rsidRPr="00FA5EC3">
        <w:rPr>
          <w:sz w:val="28"/>
          <w:szCs w:val="28"/>
          <w:lang w:val="uk-UA"/>
        </w:rPr>
        <w:t xml:space="preserve">. [Електронний ресурс] / Режим доступу: http://www.aicpa.org/research/cpahorizons2025/globalforces/ </w:t>
      </w:r>
      <w:proofErr w:type="spellStart"/>
      <w:r w:rsidRPr="00FA5EC3">
        <w:rPr>
          <w:sz w:val="28"/>
          <w:szCs w:val="28"/>
          <w:lang w:val="uk-UA"/>
        </w:rPr>
        <w:t>downloadable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documents</w:t>
      </w:r>
      <w:proofErr w:type="spellEnd"/>
      <w:r w:rsidRPr="00FA5EC3">
        <w:rPr>
          <w:sz w:val="28"/>
          <w:szCs w:val="28"/>
          <w:lang w:val="uk-UA"/>
        </w:rPr>
        <w:t>/</w:t>
      </w:r>
      <w:proofErr w:type="spellStart"/>
      <w:r w:rsidRPr="00FA5EC3">
        <w:rPr>
          <w:sz w:val="28"/>
          <w:szCs w:val="28"/>
          <w:lang w:val="uk-UA"/>
        </w:rPr>
        <w:t>globaltrends.pdf</w:t>
      </w:r>
      <w:proofErr w:type="spellEnd"/>
      <w:r w:rsidRPr="00FA5EC3">
        <w:rPr>
          <w:sz w:val="28"/>
          <w:szCs w:val="28"/>
          <w:lang w:val="uk-UA"/>
        </w:rPr>
        <w:t xml:space="preserve">. </w:t>
      </w:r>
      <w:r w:rsidR="00AC4E10" w:rsidRPr="00AC4E10">
        <w:rPr>
          <w:sz w:val="28"/>
          <w:szCs w:val="28"/>
          <w:lang w:val="uk-UA"/>
        </w:rPr>
        <w:t>Дата звернення: 1.10.2020</w:t>
      </w:r>
    </w:p>
    <w:p w:rsidR="00007743" w:rsidRPr="00FA5EC3" w:rsidRDefault="00007743" w:rsidP="00AC4E1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Global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Trends</w:t>
      </w:r>
      <w:proofErr w:type="spellEnd"/>
      <w:r w:rsidRPr="00FA5EC3">
        <w:rPr>
          <w:sz w:val="28"/>
          <w:szCs w:val="28"/>
          <w:lang w:val="uk-UA"/>
        </w:rPr>
        <w:t xml:space="preserve"> 2030: </w:t>
      </w:r>
      <w:proofErr w:type="spellStart"/>
      <w:r w:rsidRPr="00FA5EC3">
        <w:rPr>
          <w:sz w:val="28"/>
          <w:szCs w:val="28"/>
          <w:lang w:val="uk-UA"/>
        </w:rPr>
        <w:t>Alternative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Worlds</w:t>
      </w:r>
      <w:proofErr w:type="spellEnd"/>
      <w:r w:rsidRPr="00FA5EC3">
        <w:rPr>
          <w:sz w:val="28"/>
          <w:szCs w:val="28"/>
          <w:lang w:val="uk-UA"/>
        </w:rPr>
        <w:t xml:space="preserve"> [Електронний ресурс]. – Режим доступу: http://www.dni.gov/files/documents/Interactive%20Le% 20Menu.pdf.</w:t>
      </w:r>
      <w:r w:rsidR="00AC4E10" w:rsidRPr="00AC4E10">
        <w:rPr>
          <w:lang w:val="uk-UA"/>
        </w:rPr>
        <w:t xml:space="preserve"> </w:t>
      </w:r>
      <w:r w:rsidR="00AC4E10">
        <w:rPr>
          <w:sz w:val="28"/>
          <w:szCs w:val="28"/>
          <w:lang w:val="uk-UA"/>
        </w:rPr>
        <w:t>Дата звернення: 4</w:t>
      </w:r>
      <w:r w:rsidR="00AC4E10" w:rsidRPr="00AC4E10">
        <w:rPr>
          <w:sz w:val="28"/>
          <w:szCs w:val="28"/>
          <w:lang w:val="uk-UA"/>
        </w:rPr>
        <w:t>.10.2020</w:t>
      </w:r>
      <w:r w:rsidR="00AC4E10">
        <w:rPr>
          <w:sz w:val="28"/>
          <w:szCs w:val="28"/>
          <w:lang w:val="uk-UA"/>
        </w:rPr>
        <w:t xml:space="preserve"> </w:t>
      </w:r>
    </w:p>
    <w:p w:rsidR="00007743" w:rsidRPr="00FA5EC3" w:rsidRDefault="00007743" w:rsidP="00AC4E1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Gompert</w:t>
      </w:r>
      <w:proofErr w:type="spellEnd"/>
      <w:r w:rsidRPr="00FA5EC3">
        <w:rPr>
          <w:sz w:val="28"/>
          <w:szCs w:val="28"/>
          <w:lang w:val="uk-UA"/>
        </w:rPr>
        <w:t xml:space="preserve"> D.C. </w:t>
      </w:r>
      <w:proofErr w:type="spellStart"/>
      <w:r w:rsidRPr="00FA5EC3">
        <w:rPr>
          <w:sz w:val="28"/>
          <w:szCs w:val="28"/>
          <w:lang w:val="uk-UA"/>
        </w:rPr>
        <w:t>National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Security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in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the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Information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Age</w:t>
      </w:r>
      <w:proofErr w:type="spellEnd"/>
      <w:r w:rsidRPr="00FA5EC3">
        <w:rPr>
          <w:sz w:val="28"/>
          <w:szCs w:val="28"/>
          <w:lang w:val="uk-UA"/>
        </w:rPr>
        <w:t xml:space="preserve"> [Електронний ресурс] / D.C. </w:t>
      </w:r>
      <w:proofErr w:type="spellStart"/>
      <w:r w:rsidRPr="00FA5EC3">
        <w:rPr>
          <w:sz w:val="28"/>
          <w:szCs w:val="28"/>
          <w:lang w:val="uk-UA"/>
        </w:rPr>
        <w:t>Gompert</w:t>
      </w:r>
      <w:proofErr w:type="spellEnd"/>
      <w:r w:rsidRPr="00FA5EC3">
        <w:rPr>
          <w:sz w:val="28"/>
          <w:szCs w:val="28"/>
          <w:lang w:val="uk-UA"/>
        </w:rPr>
        <w:t xml:space="preserve">. – </w:t>
      </w:r>
      <w:proofErr w:type="spellStart"/>
      <w:r w:rsidRPr="00FA5EC3">
        <w:rPr>
          <w:sz w:val="28"/>
          <w:szCs w:val="28"/>
          <w:lang w:val="uk-UA"/>
        </w:rPr>
        <w:t>Published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by</w:t>
      </w:r>
      <w:proofErr w:type="spellEnd"/>
      <w:r w:rsidRPr="00FA5EC3">
        <w:rPr>
          <w:sz w:val="28"/>
          <w:szCs w:val="28"/>
          <w:lang w:val="uk-UA"/>
        </w:rPr>
        <w:t xml:space="preserve"> RAND </w:t>
      </w:r>
      <w:proofErr w:type="spellStart"/>
      <w:r w:rsidRPr="00FA5EC3">
        <w:rPr>
          <w:sz w:val="28"/>
          <w:szCs w:val="28"/>
          <w:lang w:val="uk-UA"/>
        </w:rPr>
        <w:t>Santa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Monica</w:t>
      </w:r>
      <w:proofErr w:type="spellEnd"/>
      <w:r w:rsidRPr="00FA5EC3">
        <w:rPr>
          <w:sz w:val="28"/>
          <w:szCs w:val="28"/>
          <w:lang w:val="uk-UA"/>
        </w:rPr>
        <w:t>, CA. – Режим доступу:   http://www.rand.org/pubs/reprints/RP736.html.</w:t>
      </w:r>
      <w:r w:rsidR="00AC4E10" w:rsidRPr="00AC4E10">
        <w:rPr>
          <w:lang w:val="en-US"/>
        </w:rPr>
        <w:t xml:space="preserve"> </w:t>
      </w:r>
      <w:r w:rsidR="00AC4E10" w:rsidRPr="00AC4E10">
        <w:rPr>
          <w:sz w:val="28"/>
          <w:szCs w:val="28"/>
          <w:lang w:val="uk-UA"/>
        </w:rPr>
        <w:t>Дата звернення: 1</w:t>
      </w:r>
      <w:r w:rsidR="00AC4E10">
        <w:rPr>
          <w:sz w:val="28"/>
          <w:szCs w:val="28"/>
          <w:lang w:val="uk-UA"/>
        </w:rPr>
        <w:t>8.09</w:t>
      </w:r>
      <w:r w:rsidR="00AC4E10" w:rsidRPr="00AC4E10">
        <w:rPr>
          <w:sz w:val="28"/>
          <w:szCs w:val="28"/>
          <w:lang w:val="uk-UA"/>
        </w:rPr>
        <w:t>.2020</w:t>
      </w:r>
    </w:p>
    <w:p w:rsidR="00007743" w:rsidRPr="00FA5EC3" w:rsidRDefault="00007743" w:rsidP="00AC4E1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Hanson</w:t>
      </w:r>
      <w:proofErr w:type="spellEnd"/>
      <w:r w:rsidRPr="00FA5EC3">
        <w:rPr>
          <w:sz w:val="28"/>
          <w:szCs w:val="28"/>
          <w:lang w:val="uk-UA"/>
        </w:rPr>
        <w:t xml:space="preserve"> E. A </w:t>
      </w:r>
      <w:proofErr w:type="spellStart"/>
      <w:r w:rsidRPr="00FA5EC3">
        <w:rPr>
          <w:sz w:val="28"/>
          <w:szCs w:val="28"/>
          <w:lang w:val="uk-UA"/>
        </w:rPr>
        <w:t>History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of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International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Communication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Studies</w:t>
      </w:r>
      <w:proofErr w:type="spellEnd"/>
      <w:r w:rsidRPr="00FA5EC3">
        <w:rPr>
          <w:sz w:val="28"/>
          <w:szCs w:val="28"/>
          <w:lang w:val="uk-UA"/>
        </w:rPr>
        <w:t xml:space="preserve"> [</w:t>
      </w:r>
      <w:proofErr w:type="spellStart"/>
      <w:r w:rsidRPr="00FA5EC3">
        <w:rPr>
          <w:sz w:val="28"/>
          <w:szCs w:val="28"/>
          <w:lang w:val="uk-UA"/>
        </w:rPr>
        <w:t>Electronic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resource</w:t>
      </w:r>
      <w:proofErr w:type="spellEnd"/>
      <w:r w:rsidRPr="00FA5EC3">
        <w:rPr>
          <w:sz w:val="28"/>
          <w:szCs w:val="28"/>
          <w:lang w:val="uk-UA"/>
        </w:rPr>
        <w:t xml:space="preserve">] / </w:t>
      </w:r>
      <w:proofErr w:type="spellStart"/>
      <w:r w:rsidRPr="00FA5EC3">
        <w:rPr>
          <w:sz w:val="28"/>
          <w:szCs w:val="28"/>
          <w:lang w:val="uk-UA"/>
        </w:rPr>
        <w:t>Elizabeth</w:t>
      </w:r>
      <w:proofErr w:type="spellEnd"/>
      <w:r w:rsidRPr="00FA5EC3">
        <w:rPr>
          <w:sz w:val="28"/>
          <w:szCs w:val="28"/>
          <w:lang w:val="uk-UA"/>
        </w:rPr>
        <w:t xml:space="preserve"> C. </w:t>
      </w:r>
      <w:proofErr w:type="spellStart"/>
      <w:r w:rsidRPr="00FA5EC3">
        <w:rPr>
          <w:sz w:val="28"/>
          <w:szCs w:val="28"/>
          <w:lang w:val="uk-UA"/>
        </w:rPr>
        <w:t>Hanson</w:t>
      </w:r>
      <w:proofErr w:type="spellEnd"/>
      <w:r w:rsidRPr="00FA5EC3">
        <w:rPr>
          <w:sz w:val="28"/>
          <w:szCs w:val="28"/>
          <w:lang w:val="uk-UA"/>
        </w:rPr>
        <w:t xml:space="preserve"> // </w:t>
      </w:r>
      <w:proofErr w:type="spellStart"/>
      <w:r w:rsidRPr="00FA5EC3">
        <w:rPr>
          <w:sz w:val="28"/>
          <w:szCs w:val="28"/>
          <w:lang w:val="uk-UA"/>
        </w:rPr>
        <w:t>Oxford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Research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Encyclopedia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of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International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Studies</w:t>
      </w:r>
      <w:proofErr w:type="spellEnd"/>
      <w:r w:rsidRPr="00FA5EC3">
        <w:rPr>
          <w:sz w:val="28"/>
          <w:szCs w:val="28"/>
          <w:lang w:val="uk-UA"/>
        </w:rPr>
        <w:t xml:space="preserve">. – 2017. – </w:t>
      </w:r>
      <w:proofErr w:type="spellStart"/>
      <w:r w:rsidRPr="00FA5EC3">
        <w:rPr>
          <w:sz w:val="28"/>
          <w:szCs w:val="28"/>
          <w:lang w:val="uk-UA"/>
        </w:rPr>
        <w:t>Mode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of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access</w:t>
      </w:r>
      <w:proofErr w:type="spellEnd"/>
      <w:r w:rsidRPr="00FA5EC3">
        <w:rPr>
          <w:sz w:val="28"/>
          <w:szCs w:val="28"/>
          <w:lang w:val="uk-UA"/>
        </w:rPr>
        <w:t xml:space="preserve"> : http://oxfordre.com/internationalstudies/view/10.1093/acrefore/9780190846626.001.0001/acrefore-9780190846626-e-63.</w:t>
      </w:r>
      <w:r w:rsidR="00AC4E10" w:rsidRPr="00AC4E10">
        <w:rPr>
          <w:lang w:val="en-US"/>
        </w:rPr>
        <w:t xml:space="preserve"> </w:t>
      </w:r>
      <w:r w:rsidR="00AC4E10" w:rsidRPr="00AC4E10">
        <w:rPr>
          <w:sz w:val="28"/>
          <w:szCs w:val="28"/>
          <w:lang w:val="uk-UA"/>
        </w:rPr>
        <w:t>Дата звернення: 1</w:t>
      </w:r>
      <w:r w:rsidR="00AC4E10">
        <w:rPr>
          <w:sz w:val="28"/>
          <w:szCs w:val="28"/>
          <w:lang w:val="uk-UA"/>
        </w:rPr>
        <w:t>1.03</w:t>
      </w:r>
      <w:r w:rsidR="00AC4E10" w:rsidRPr="00AC4E10">
        <w:rPr>
          <w:sz w:val="28"/>
          <w:szCs w:val="28"/>
          <w:lang w:val="uk-UA"/>
        </w:rPr>
        <w:t>.202</w:t>
      </w:r>
      <w:r w:rsidR="00AC4E10">
        <w:rPr>
          <w:sz w:val="28"/>
          <w:szCs w:val="28"/>
          <w:lang w:val="uk-UA"/>
        </w:rPr>
        <w:t>1</w:t>
      </w:r>
    </w:p>
    <w:p w:rsidR="00007743" w:rsidRPr="00FA5EC3" w:rsidRDefault="00007743" w:rsidP="000077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Lord</w:t>
      </w:r>
      <w:proofErr w:type="spellEnd"/>
      <w:r w:rsidRPr="00FA5EC3">
        <w:rPr>
          <w:sz w:val="28"/>
          <w:szCs w:val="28"/>
          <w:lang w:val="uk-UA"/>
        </w:rPr>
        <w:t xml:space="preserve"> С. [</w:t>
      </w:r>
      <w:proofErr w:type="spellStart"/>
      <w:r w:rsidRPr="00FA5EC3">
        <w:rPr>
          <w:sz w:val="28"/>
          <w:szCs w:val="28"/>
          <w:lang w:val="uk-UA"/>
        </w:rPr>
        <w:t>Public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Diplomacy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and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Soft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Power</w:t>
      </w:r>
      <w:proofErr w:type="spellEnd"/>
      <w:r w:rsidRPr="00FA5EC3">
        <w:rPr>
          <w:sz w:val="28"/>
          <w:szCs w:val="28"/>
          <w:lang w:val="uk-UA"/>
        </w:rPr>
        <w:t xml:space="preserve">] </w:t>
      </w:r>
      <w:proofErr w:type="spellStart"/>
      <w:r w:rsidRPr="00FA5EC3">
        <w:rPr>
          <w:sz w:val="28"/>
          <w:szCs w:val="28"/>
          <w:lang w:val="uk-UA"/>
        </w:rPr>
        <w:t>in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Waller</w:t>
      </w:r>
      <w:proofErr w:type="spellEnd"/>
      <w:r w:rsidRPr="00FA5EC3">
        <w:rPr>
          <w:sz w:val="28"/>
          <w:szCs w:val="28"/>
          <w:lang w:val="uk-UA"/>
        </w:rPr>
        <w:t xml:space="preserve">, </w:t>
      </w:r>
      <w:proofErr w:type="spellStart"/>
      <w:r w:rsidRPr="00FA5EC3">
        <w:rPr>
          <w:sz w:val="28"/>
          <w:szCs w:val="28"/>
          <w:lang w:val="uk-UA"/>
        </w:rPr>
        <w:t>ed</w:t>
      </w:r>
      <w:proofErr w:type="spellEnd"/>
      <w:r w:rsidRPr="00FA5EC3">
        <w:rPr>
          <w:sz w:val="28"/>
          <w:szCs w:val="28"/>
          <w:lang w:val="uk-UA"/>
        </w:rPr>
        <w:t xml:space="preserve">. </w:t>
      </w:r>
      <w:proofErr w:type="spellStart"/>
      <w:r w:rsidRPr="00FA5EC3">
        <w:rPr>
          <w:sz w:val="28"/>
          <w:szCs w:val="28"/>
          <w:lang w:val="uk-UA"/>
        </w:rPr>
        <w:t>Strategic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Influence</w:t>
      </w:r>
      <w:proofErr w:type="spellEnd"/>
      <w:r w:rsidRPr="00FA5EC3">
        <w:rPr>
          <w:sz w:val="28"/>
          <w:szCs w:val="28"/>
          <w:lang w:val="uk-UA"/>
        </w:rPr>
        <w:t xml:space="preserve">: </w:t>
      </w:r>
      <w:proofErr w:type="spellStart"/>
      <w:r w:rsidRPr="00FA5EC3">
        <w:rPr>
          <w:sz w:val="28"/>
          <w:szCs w:val="28"/>
          <w:lang w:val="uk-UA"/>
        </w:rPr>
        <w:t>Public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Diplomacy</w:t>
      </w:r>
      <w:proofErr w:type="spellEnd"/>
      <w:r w:rsidRPr="00FA5EC3">
        <w:rPr>
          <w:sz w:val="28"/>
          <w:szCs w:val="28"/>
          <w:lang w:val="uk-UA"/>
        </w:rPr>
        <w:t xml:space="preserve">, </w:t>
      </w:r>
      <w:proofErr w:type="spellStart"/>
      <w:r w:rsidRPr="00FA5EC3">
        <w:rPr>
          <w:sz w:val="28"/>
          <w:szCs w:val="28"/>
          <w:lang w:val="uk-UA"/>
        </w:rPr>
        <w:t>Counterpropaganda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and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Political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Warfare</w:t>
      </w:r>
      <w:proofErr w:type="spellEnd"/>
      <w:r w:rsidRPr="00FA5EC3">
        <w:rPr>
          <w:sz w:val="28"/>
          <w:szCs w:val="28"/>
          <w:lang w:val="uk-UA"/>
        </w:rPr>
        <w:t xml:space="preserve">, </w:t>
      </w:r>
      <w:proofErr w:type="spellStart"/>
      <w:r w:rsidRPr="00FA5EC3">
        <w:rPr>
          <w:sz w:val="28"/>
          <w:szCs w:val="28"/>
          <w:lang w:val="uk-UA"/>
        </w:rPr>
        <w:t>Washington</w:t>
      </w:r>
      <w:proofErr w:type="spellEnd"/>
      <w:r w:rsidRPr="00FA5EC3">
        <w:rPr>
          <w:sz w:val="28"/>
          <w:szCs w:val="28"/>
          <w:lang w:val="uk-UA"/>
        </w:rPr>
        <w:t xml:space="preserve">, IWP </w:t>
      </w:r>
      <w:proofErr w:type="spellStart"/>
      <w:r w:rsidRPr="00FA5EC3">
        <w:rPr>
          <w:sz w:val="28"/>
          <w:szCs w:val="28"/>
          <w:lang w:val="uk-UA"/>
        </w:rPr>
        <w:t>Press</w:t>
      </w:r>
      <w:proofErr w:type="spellEnd"/>
      <w:r w:rsidRPr="00FA5EC3">
        <w:rPr>
          <w:sz w:val="28"/>
          <w:szCs w:val="28"/>
          <w:lang w:val="uk-UA"/>
        </w:rPr>
        <w:t>, 2009, 399 p.</w:t>
      </w:r>
    </w:p>
    <w:p w:rsidR="00007743" w:rsidRPr="00FA5EC3" w:rsidRDefault="00007743" w:rsidP="000077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Mapping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The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Global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Future</w:t>
      </w:r>
      <w:proofErr w:type="spellEnd"/>
      <w:r w:rsidRPr="00FA5EC3">
        <w:rPr>
          <w:sz w:val="28"/>
          <w:szCs w:val="28"/>
          <w:lang w:val="uk-UA"/>
        </w:rPr>
        <w:t xml:space="preserve">. </w:t>
      </w:r>
      <w:proofErr w:type="spellStart"/>
      <w:r w:rsidRPr="00FA5EC3">
        <w:rPr>
          <w:sz w:val="28"/>
          <w:szCs w:val="28"/>
          <w:lang w:val="uk-UA"/>
        </w:rPr>
        <w:t>Report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of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the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National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Intelligence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Council’s</w:t>
      </w:r>
      <w:proofErr w:type="spellEnd"/>
      <w:r w:rsidRPr="00FA5EC3">
        <w:rPr>
          <w:sz w:val="28"/>
          <w:szCs w:val="28"/>
          <w:lang w:val="uk-UA"/>
        </w:rPr>
        <w:t xml:space="preserve"> 2020 Project [Електронний ресурс] – Режим доступу: http://www.dni.gov/nic/NIC_globaltrend2020.html</w:t>
      </w:r>
    </w:p>
    <w:p w:rsidR="00007743" w:rsidRPr="00FA5EC3" w:rsidRDefault="00007743" w:rsidP="00AC4E1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Mapping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The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Global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Future</w:t>
      </w:r>
      <w:proofErr w:type="spellEnd"/>
      <w:r w:rsidRPr="00FA5EC3">
        <w:rPr>
          <w:sz w:val="28"/>
          <w:szCs w:val="28"/>
          <w:lang w:val="uk-UA"/>
        </w:rPr>
        <w:t xml:space="preserve">. </w:t>
      </w:r>
      <w:proofErr w:type="spellStart"/>
      <w:r w:rsidRPr="00FA5EC3">
        <w:rPr>
          <w:sz w:val="28"/>
          <w:szCs w:val="28"/>
          <w:lang w:val="uk-UA"/>
        </w:rPr>
        <w:t>Report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of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the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National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Intelligence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Council’s</w:t>
      </w:r>
      <w:proofErr w:type="spellEnd"/>
      <w:r w:rsidRPr="00FA5EC3">
        <w:rPr>
          <w:sz w:val="28"/>
          <w:szCs w:val="28"/>
          <w:lang w:val="uk-UA"/>
        </w:rPr>
        <w:t xml:space="preserve"> 2020 Project [Електронний ресурс]. – Режим доступу: http://www.dni.gov/nic/NIC_globaltrend2020.html.</w:t>
      </w:r>
      <w:r w:rsidR="00AC4E10" w:rsidRPr="00AC4E10">
        <w:rPr>
          <w:lang w:val="en-US"/>
        </w:rPr>
        <w:t xml:space="preserve"> </w:t>
      </w:r>
      <w:r w:rsidR="00AC4E10" w:rsidRPr="00AC4E10">
        <w:rPr>
          <w:sz w:val="28"/>
          <w:szCs w:val="28"/>
          <w:lang w:val="uk-UA"/>
        </w:rPr>
        <w:t>Дата звернення: 1</w:t>
      </w:r>
      <w:r w:rsidR="00AC4E10">
        <w:rPr>
          <w:sz w:val="28"/>
          <w:szCs w:val="28"/>
          <w:lang w:val="uk-UA"/>
        </w:rPr>
        <w:t>2</w:t>
      </w:r>
      <w:r w:rsidR="00AC4E10" w:rsidRPr="00AC4E10">
        <w:rPr>
          <w:sz w:val="28"/>
          <w:szCs w:val="28"/>
          <w:lang w:val="uk-UA"/>
        </w:rPr>
        <w:t>.10.2020</w:t>
      </w:r>
    </w:p>
    <w:p w:rsidR="00007743" w:rsidRPr="00FA5EC3" w:rsidRDefault="00007743" w:rsidP="000077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Melcote</w:t>
      </w:r>
      <w:proofErr w:type="spellEnd"/>
      <w:r w:rsidRPr="00FA5EC3">
        <w:rPr>
          <w:sz w:val="28"/>
          <w:szCs w:val="28"/>
          <w:lang w:val="uk-UA"/>
        </w:rPr>
        <w:t xml:space="preserve">, </w:t>
      </w:r>
      <w:proofErr w:type="spellStart"/>
      <w:r w:rsidRPr="00FA5EC3">
        <w:rPr>
          <w:sz w:val="28"/>
          <w:szCs w:val="28"/>
          <w:lang w:val="uk-UA"/>
        </w:rPr>
        <w:t>Srinivas</w:t>
      </w:r>
      <w:proofErr w:type="spellEnd"/>
      <w:r w:rsidRPr="00FA5EC3">
        <w:rPr>
          <w:sz w:val="28"/>
          <w:szCs w:val="28"/>
          <w:lang w:val="uk-UA"/>
        </w:rPr>
        <w:t xml:space="preserve"> R. &amp; </w:t>
      </w:r>
      <w:proofErr w:type="spellStart"/>
      <w:r w:rsidRPr="00FA5EC3">
        <w:rPr>
          <w:sz w:val="28"/>
          <w:szCs w:val="28"/>
          <w:lang w:val="uk-UA"/>
        </w:rPr>
        <w:t>Steeves</w:t>
      </w:r>
      <w:proofErr w:type="spellEnd"/>
      <w:r w:rsidRPr="00FA5EC3">
        <w:rPr>
          <w:sz w:val="28"/>
          <w:szCs w:val="28"/>
          <w:lang w:val="uk-UA"/>
        </w:rPr>
        <w:t xml:space="preserve">, </w:t>
      </w:r>
      <w:proofErr w:type="spellStart"/>
      <w:r w:rsidRPr="00FA5EC3">
        <w:rPr>
          <w:sz w:val="28"/>
          <w:szCs w:val="28"/>
          <w:lang w:val="uk-UA"/>
        </w:rPr>
        <w:t>Leslie</w:t>
      </w:r>
      <w:proofErr w:type="spellEnd"/>
      <w:r w:rsidRPr="00FA5EC3">
        <w:rPr>
          <w:sz w:val="28"/>
          <w:szCs w:val="28"/>
          <w:lang w:val="uk-UA"/>
        </w:rPr>
        <w:t xml:space="preserve">, H. 2001. </w:t>
      </w:r>
      <w:proofErr w:type="spellStart"/>
      <w:r w:rsidRPr="00FA5EC3">
        <w:rPr>
          <w:sz w:val="28"/>
          <w:szCs w:val="28"/>
          <w:lang w:val="uk-UA"/>
        </w:rPr>
        <w:t>Communication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for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Development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in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the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Third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World</w:t>
      </w:r>
      <w:proofErr w:type="spellEnd"/>
      <w:r w:rsidRPr="00FA5EC3">
        <w:rPr>
          <w:sz w:val="28"/>
          <w:szCs w:val="28"/>
          <w:lang w:val="uk-UA"/>
        </w:rPr>
        <w:t xml:space="preserve">: </w:t>
      </w:r>
      <w:proofErr w:type="spellStart"/>
      <w:r w:rsidRPr="00FA5EC3">
        <w:rPr>
          <w:sz w:val="28"/>
          <w:szCs w:val="28"/>
          <w:lang w:val="uk-UA"/>
        </w:rPr>
        <w:t>Theory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and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Practice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for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Empowerment</w:t>
      </w:r>
      <w:proofErr w:type="spellEnd"/>
      <w:r w:rsidRPr="00FA5EC3">
        <w:rPr>
          <w:sz w:val="28"/>
          <w:szCs w:val="28"/>
          <w:lang w:val="uk-UA"/>
        </w:rPr>
        <w:t xml:space="preserve">. 2nd </w:t>
      </w:r>
      <w:proofErr w:type="spellStart"/>
      <w:r w:rsidRPr="00FA5EC3">
        <w:rPr>
          <w:sz w:val="28"/>
          <w:szCs w:val="28"/>
          <w:lang w:val="uk-UA"/>
        </w:rPr>
        <w:t>Ed</w:t>
      </w:r>
      <w:proofErr w:type="spellEnd"/>
      <w:r w:rsidRPr="00FA5EC3">
        <w:rPr>
          <w:sz w:val="28"/>
          <w:szCs w:val="28"/>
          <w:lang w:val="uk-UA"/>
        </w:rPr>
        <w:t xml:space="preserve">. </w:t>
      </w:r>
      <w:proofErr w:type="spellStart"/>
      <w:r w:rsidRPr="00FA5EC3">
        <w:rPr>
          <w:sz w:val="28"/>
          <w:szCs w:val="28"/>
          <w:lang w:val="uk-UA"/>
        </w:rPr>
        <w:t>London</w:t>
      </w:r>
      <w:proofErr w:type="spellEnd"/>
      <w:r w:rsidRPr="00FA5EC3">
        <w:rPr>
          <w:sz w:val="28"/>
          <w:szCs w:val="28"/>
          <w:lang w:val="uk-UA"/>
        </w:rPr>
        <w:t xml:space="preserve">: </w:t>
      </w:r>
      <w:proofErr w:type="spellStart"/>
      <w:r w:rsidRPr="00FA5EC3">
        <w:rPr>
          <w:sz w:val="28"/>
          <w:szCs w:val="28"/>
          <w:lang w:val="uk-UA"/>
        </w:rPr>
        <w:t>Sage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Publications</w:t>
      </w:r>
      <w:proofErr w:type="spellEnd"/>
      <w:r w:rsidRPr="00FA5EC3">
        <w:rPr>
          <w:sz w:val="28"/>
          <w:szCs w:val="28"/>
          <w:lang w:val="uk-UA"/>
        </w:rPr>
        <w:t xml:space="preserve">, </w:t>
      </w:r>
      <w:proofErr w:type="spellStart"/>
      <w:r w:rsidRPr="00FA5EC3">
        <w:rPr>
          <w:sz w:val="28"/>
          <w:szCs w:val="28"/>
          <w:lang w:val="uk-UA"/>
        </w:rPr>
        <w:t>Ltd</w:t>
      </w:r>
      <w:proofErr w:type="spellEnd"/>
      <w:r w:rsidRPr="00FA5EC3">
        <w:rPr>
          <w:sz w:val="28"/>
          <w:szCs w:val="28"/>
          <w:lang w:val="uk-UA"/>
        </w:rPr>
        <w:t>.</w:t>
      </w:r>
    </w:p>
    <w:p w:rsidR="00007743" w:rsidRPr="00FA5EC3" w:rsidRDefault="00007743" w:rsidP="000077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lastRenderedPageBreak/>
        <w:t>Nye</w:t>
      </w:r>
      <w:proofErr w:type="spellEnd"/>
      <w:r w:rsidRPr="00FA5EC3">
        <w:rPr>
          <w:sz w:val="28"/>
          <w:szCs w:val="28"/>
          <w:lang w:val="uk-UA"/>
        </w:rPr>
        <w:t xml:space="preserve"> J.S. </w:t>
      </w:r>
      <w:proofErr w:type="spellStart"/>
      <w:r w:rsidRPr="00FA5EC3">
        <w:rPr>
          <w:sz w:val="28"/>
          <w:szCs w:val="28"/>
          <w:lang w:val="uk-UA"/>
        </w:rPr>
        <w:t>Power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and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Interdependence</w:t>
      </w:r>
      <w:proofErr w:type="spellEnd"/>
      <w:r w:rsidRPr="00FA5EC3">
        <w:rPr>
          <w:sz w:val="28"/>
          <w:szCs w:val="28"/>
          <w:lang w:val="uk-UA"/>
        </w:rPr>
        <w:t xml:space="preserve">: </w:t>
      </w:r>
      <w:proofErr w:type="spellStart"/>
      <w:r w:rsidRPr="00FA5EC3">
        <w:rPr>
          <w:sz w:val="28"/>
          <w:szCs w:val="28"/>
          <w:lang w:val="uk-UA"/>
        </w:rPr>
        <w:t>World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Politics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in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Transition</w:t>
      </w:r>
      <w:proofErr w:type="spellEnd"/>
      <w:r w:rsidRPr="00FA5EC3">
        <w:rPr>
          <w:sz w:val="28"/>
          <w:szCs w:val="28"/>
          <w:lang w:val="uk-UA"/>
        </w:rPr>
        <w:t xml:space="preserve"> / </w:t>
      </w:r>
      <w:proofErr w:type="spellStart"/>
      <w:r w:rsidRPr="00FA5EC3">
        <w:rPr>
          <w:sz w:val="28"/>
          <w:szCs w:val="28"/>
          <w:lang w:val="uk-UA"/>
        </w:rPr>
        <w:t>Joseph</w:t>
      </w:r>
      <w:proofErr w:type="spellEnd"/>
      <w:r w:rsidRPr="00FA5EC3">
        <w:rPr>
          <w:sz w:val="28"/>
          <w:szCs w:val="28"/>
          <w:lang w:val="uk-UA"/>
        </w:rPr>
        <w:t xml:space="preserve"> S. </w:t>
      </w:r>
      <w:proofErr w:type="spellStart"/>
      <w:r w:rsidRPr="00FA5EC3">
        <w:rPr>
          <w:sz w:val="28"/>
          <w:szCs w:val="28"/>
          <w:lang w:val="uk-UA"/>
        </w:rPr>
        <w:t>Nye</w:t>
      </w:r>
      <w:proofErr w:type="spellEnd"/>
      <w:r w:rsidRPr="00FA5EC3">
        <w:rPr>
          <w:sz w:val="28"/>
          <w:szCs w:val="28"/>
          <w:lang w:val="uk-UA"/>
        </w:rPr>
        <w:t xml:space="preserve">, </w:t>
      </w:r>
      <w:proofErr w:type="spellStart"/>
      <w:r w:rsidRPr="00FA5EC3">
        <w:rPr>
          <w:sz w:val="28"/>
          <w:szCs w:val="28"/>
          <w:lang w:val="uk-UA"/>
        </w:rPr>
        <w:t>Robert</w:t>
      </w:r>
      <w:proofErr w:type="spellEnd"/>
      <w:r w:rsidRPr="00FA5EC3">
        <w:rPr>
          <w:sz w:val="28"/>
          <w:szCs w:val="28"/>
          <w:lang w:val="uk-UA"/>
        </w:rPr>
        <w:t xml:space="preserve"> O. </w:t>
      </w:r>
      <w:proofErr w:type="spellStart"/>
      <w:r w:rsidRPr="00FA5EC3">
        <w:rPr>
          <w:sz w:val="28"/>
          <w:szCs w:val="28"/>
          <w:lang w:val="uk-UA"/>
        </w:rPr>
        <w:t>Keohane</w:t>
      </w:r>
      <w:proofErr w:type="spellEnd"/>
      <w:r w:rsidRPr="00FA5EC3">
        <w:rPr>
          <w:sz w:val="28"/>
          <w:szCs w:val="28"/>
          <w:lang w:val="uk-UA"/>
        </w:rPr>
        <w:t xml:space="preserve">. – </w:t>
      </w:r>
      <w:proofErr w:type="spellStart"/>
      <w:r w:rsidRPr="00FA5EC3">
        <w:rPr>
          <w:sz w:val="28"/>
          <w:szCs w:val="28"/>
          <w:lang w:val="uk-UA"/>
        </w:rPr>
        <w:t>New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York</w:t>
      </w:r>
      <w:proofErr w:type="spellEnd"/>
      <w:r w:rsidRPr="00FA5EC3">
        <w:rPr>
          <w:sz w:val="28"/>
          <w:szCs w:val="28"/>
          <w:lang w:val="uk-UA"/>
        </w:rPr>
        <w:t xml:space="preserve">: </w:t>
      </w:r>
      <w:proofErr w:type="spellStart"/>
      <w:r w:rsidRPr="00FA5EC3">
        <w:rPr>
          <w:sz w:val="28"/>
          <w:szCs w:val="28"/>
          <w:lang w:val="uk-UA"/>
        </w:rPr>
        <w:t>Longman</w:t>
      </w:r>
      <w:proofErr w:type="spellEnd"/>
      <w:r w:rsidRPr="00FA5EC3">
        <w:rPr>
          <w:sz w:val="28"/>
          <w:szCs w:val="28"/>
          <w:lang w:val="uk-UA"/>
        </w:rPr>
        <w:t>, 2000. – 273 р.</w:t>
      </w:r>
    </w:p>
    <w:p w:rsidR="00007743" w:rsidRPr="00FA5EC3" w:rsidRDefault="00007743" w:rsidP="000077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Nye</w:t>
      </w:r>
      <w:proofErr w:type="spellEnd"/>
      <w:r w:rsidRPr="00FA5EC3">
        <w:rPr>
          <w:sz w:val="28"/>
          <w:szCs w:val="28"/>
          <w:lang w:val="uk-UA"/>
        </w:rPr>
        <w:t xml:space="preserve"> J.S. </w:t>
      </w:r>
      <w:proofErr w:type="spellStart"/>
      <w:r w:rsidRPr="00FA5EC3">
        <w:rPr>
          <w:sz w:val="28"/>
          <w:szCs w:val="28"/>
          <w:lang w:val="uk-UA"/>
        </w:rPr>
        <w:t>Soft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Power</w:t>
      </w:r>
      <w:proofErr w:type="spellEnd"/>
      <w:r w:rsidRPr="00FA5EC3">
        <w:rPr>
          <w:sz w:val="28"/>
          <w:szCs w:val="28"/>
          <w:lang w:val="uk-UA"/>
        </w:rPr>
        <w:t xml:space="preserve">. </w:t>
      </w:r>
      <w:proofErr w:type="spellStart"/>
      <w:r w:rsidRPr="00FA5EC3">
        <w:rPr>
          <w:sz w:val="28"/>
          <w:szCs w:val="28"/>
          <w:lang w:val="uk-UA"/>
        </w:rPr>
        <w:t>The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Means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to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Success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in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World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Politics</w:t>
      </w:r>
      <w:proofErr w:type="spellEnd"/>
      <w:r w:rsidRPr="00FA5EC3">
        <w:rPr>
          <w:sz w:val="28"/>
          <w:szCs w:val="28"/>
          <w:lang w:val="uk-UA"/>
        </w:rPr>
        <w:t xml:space="preserve"> / </w:t>
      </w:r>
      <w:proofErr w:type="spellStart"/>
      <w:r w:rsidRPr="00FA5EC3">
        <w:rPr>
          <w:sz w:val="28"/>
          <w:szCs w:val="28"/>
          <w:lang w:val="uk-UA"/>
        </w:rPr>
        <w:t>Joseph</w:t>
      </w:r>
      <w:proofErr w:type="spellEnd"/>
      <w:r w:rsidRPr="00FA5EC3">
        <w:rPr>
          <w:sz w:val="28"/>
          <w:szCs w:val="28"/>
          <w:lang w:val="uk-UA"/>
        </w:rPr>
        <w:t xml:space="preserve"> S. </w:t>
      </w:r>
      <w:proofErr w:type="spellStart"/>
      <w:r w:rsidRPr="00FA5EC3">
        <w:rPr>
          <w:sz w:val="28"/>
          <w:szCs w:val="28"/>
          <w:lang w:val="uk-UA"/>
        </w:rPr>
        <w:t>Nye</w:t>
      </w:r>
      <w:proofErr w:type="spellEnd"/>
      <w:r w:rsidRPr="00FA5EC3">
        <w:rPr>
          <w:sz w:val="28"/>
          <w:szCs w:val="28"/>
          <w:lang w:val="uk-UA"/>
        </w:rPr>
        <w:t xml:space="preserve">. – </w:t>
      </w:r>
      <w:proofErr w:type="spellStart"/>
      <w:r w:rsidRPr="00FA5EC3">
        <w:rPr>
          <w:sz w:val="28"/>
          <w:szCs w:val="28"/>
          <w:lang w:val="uk-UA"/>
        </w:rPr>
        <w:t>New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York</w:t>
      </w:r>
      <w:proofErr w:type="spellEnd"/>
      <w:r w:rsidRPr="00FA5EC3">
        <w:rPr>
          <w:sz w:val="28"/>
          <w:szCs w:val="28"/>
          <w:lang w:val="uk-UA"/>
        </w:rPr>
        <w:t xml:space="preserve">: </w:t>
      </w:r>
      <w:proofErr w:type="spellStart"/>
      <w:r w:rsidRPr="00FA5EC3">
        <w:rPr>
          <w:sz w:val="28"/>
          <w:szCs w:val="28"/>
          <w:lang w:val="uk-UA"/>
        </w:rPr>
        <w:t>Public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Affairs</w:t>
      </w:r>
      <w:proofErr w:type="spellEnd"/>
      <w:r w:rsidRPr="00FA5EC3">
        <w:rPr>
          <w:sz w:val="28"/>
          <w:szCs w:val="28"/>
          <w:lang w:val="uk-UA"/>
        </w:rPr>
        <w:t>, 2004. – 192 p.</w:t>
      </w:r>
    </w:p>
    <w:p w:rsidR="00007743" w:rsidRPr="00FA5EC3" w:rsidRDefault="00007743" w:rsidP="000077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Nye</w:t>
      </w:r>
      <w:proofErr w:type="spellEnd"/>
      <w:r w:rsidRPr="00FA5EC3">
        <w:rPr>
          <w:sz w:val="28"/>
          <w:szCs w:val="28"/>
          <w:lang w:val="uk-UA"/>
        </w:rPr>
        <w:t xml:space="preserve"> J.S. </w:t>
      </w:r>
      <w:proofErr w:type="spellStart"/>
      <w:r w:rsidRPr="00FA5EC3">
        <w:rPr>
          <w:sz w:val="28"/>
          <w:szCs w:val="28"/>
          <w:lang w:val="uk-UA"/>
        </w:rPr>
        <w:t>The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Paradox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of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American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Power</w:t>
      </w:r>
      <w:proofErr w:type="spellEnd"/>
      <w:r w:rsidRPr="00FA5EC3">
        <w:rPr>
          <w:sz w:val="28"/>
          <w:szCs w:val="28"/>
          <w:lang w:val="uk-UA"/>
        </w:rPr>
        <w:t xml:space="preserve">: </w:t>
      </w:r>
      <w:proofErr w:type="spellStart"/>
      <w:r w:rsidRPr="00FA5EC3">
        <w:rPr>
          <w:sz w:val="28"/>
          <w:szCs w:val="28"/>
          <w:lang w:val="uk-UA"/>
        </w:rPr>
        <w:t>Why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the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World’s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Only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Superpower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Can’t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Go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it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Alone</w:t>
      </w:r>
      <w:proofErr w:type="spellEnd"/>
      <w:r w:rsidRPr="00FA5EC3">
        <w:rPr>
          <w:sz w:val="28"/>
          <w:szCs w:val="28"/>
          <w:lang w:val="uk-UA"/>
        </w:rPr>
        <w:t xml:space="preserve"> / </w:t>
      </w:r>
      <w:proofErr w:type="spellStart"/>
      <w:r w:rsidRPr="00FA5EC3">
        <w:rPr>
          <w:sz w:val="28"/>
          <w:szCs w:val="28"/>
          <w:lang w:val="uk-UA"/>
        </w:rPr>
        <w:t>Joseph</w:t>
      </w:r>
      <w:proofErr w:type="spellEnd"/>
      <w:r w:rsidRPr="00FA5EC3">
        <w:rPr>
          <w:sz w:val="28"/>
          <w:szCs w:val="28"/>
          <w:lang w:val="uk-UA"/>
        </w:rPr>
        <w:t xml:space="preserve"> S. </w:t>
      </w:r>
      <w:proofErr w:type="spellStart"/>
      <w:r w:rsidRPr="00FA5EC3">
        <w:rPr>
          <w:sz w:val="28"/>
          <w:szCs w:val="28"/>
          <w:lang w:val="uk-UA"/>
        </w:rPr>
        <w:t>Nye</w:t>
      </w:r>
      <w:proofErr w:type="spellEnd"/>
      <w:r w:rsidRPr="00FA5EC3">
        <w:rPr>
          <w:sz w:val="28"/>
          <w:szCs w:val="28"/>
          <w:lang w:val="uk-UA"/>
        </w:rPr>
        <w:t xml:space="preserve">. – </w:t>
      </w:r>
      <w:proofErr w:type="spellStart"/>
      <w:r w:rsidRPr="00FA5EC3">
        <w:rPr>
          <w:sz w:val="28"/>
          <w:szCs w:val="28"/>
          <w:lang w:val="uk-UA"/>
        </w:rPr>
        <w:t>New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York</w:t>
      </w:r>
      <w:proofErr w:type="spellEnd"/>
      <w:r w:rsidRPr="00FA5EC3">
        <w:rPr>
          <w:sz w:val="28"/>
          <w:szCs w:val="28"/>
          <w:lang w:val="uk-UA"/>
        </w:rPr>
        <w:t xml:space="preserve">: </w:t>
      </w:r>
      <w:proofErr w:type="spellStart"/>
      <w:r w:rsidRPr="00FA5EC3">
        <w:rPr>
          <w:sz w:val="28"/>
          <w:szCs w:val="28"/>
          <w:lang w:val="uk-UA"/>
        </w:rPr>
        <w:t>Oxford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University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Press</w:t>
      </w:r>
      <w:proofErr w:type="spellEnd"/>
      <w:r w:rsidRPr="00FA5EC3">
        <w:rPr>
          <w:sz w:val="28"/>
          <w:szCs w:val="28"/>
          <w:lang w:val="uk-UA"/>
        </w:rPr>
        <w:t>, 2002. – 240 р.</w:t>
      </w:r>
    </w:p>
    <w:p w:rsidR="00007743" w:rsidRPr="00FA5EC3" w:rsidRDefault="00007743" w:rsidP="00AC4E1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Olivie</w:t>
      </w:r>
      <w:proofErr w:type="spellEnd"/>
      <w:r w:rsidRPr="00FA5EC3">
        <w:rPr>
          <w:sz w:val="28"/>
          <w:szCs w:val="28"/>
          <w:lang w:val="uk-UA"/>
        </w:rPr>
        <w:t xml:space="preserve"> I., Garcia-Calvo C., </w:t>
      </w:r>
      <w:proofErr w:type="spellStart"/>
      <w:r w:rsidRPr="00FA5EC3">
        <w:rPr>
          <w:sz w:val="28"/>
          <w:szCs w:val="28"/>
          <w:lang w:val="uk-UA"/>
        </w:rPr>
        <w:t>Gracia</w:t>
      </w:r>
      <w:proofErr w:type="spellEnd"/>
      <w:r w:rsidRPr="00FA5EC3">
        <w:rPr>
          <w:sz w:val="28"/>
          <w:szCs w:val="28"/>
          <w:lang w:val="uk-UA"/>
        </w:rPr>
        <w:t xml:space="preserve"> M. [</w:t>
      </w:r>
      <w:proofErr w:type="spellStart"/>
      <w:r w:rsidRPr="00FA5EC3">
        <w:rPr>
          <w:sz w:val="28"/>
          <w:szCs w:val="28"/>
          <w:lang w:val="uk-UA"/>
        </w:rPr>
        <w:t>Elcano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Global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Presence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Report</w:t>
      </w:r>
      <w:proofErr w:type="spellEnd"/>
      <w:r w:rsidRPr="00FA5EC3">
        <w:rPr>
          <w:sz w:val="28"/>
          <w:szCs w:val="28"/>
          <w:lang w:val="uk-UA"/>
        </w:rPr>
        <w:t xml:space="preserve"> 2015]. 2015, </w:t>
      </w:r>
      <w:proofErr w:type="spellStart"/>
      <w:r w:rsidRPr="00FA5EC3">
        <w:rPr>
          <w:sz w:val="28"/>
          <w:szCs w:val="28"/>
          <w:lang w:val="uk-UA"/>
        </w:rPr>
        <w:t>Madrid</w:t>
      </w:r>
      <w:proofErr w:type="spellEnd"/>
      <w:r w:rsidRPr="00FA5EC3">
        <w:rPr>
          <w:sz w:val="28"/>
          <w:szCs w:val="28"/>
          <w:lang w:val="uk-UA"/>
        </w:rPr>
        <w:t xml:space="preserve">, </w:t>
      </w:r>
      <w:proofErr w:type="spellStart"/>
      <w:r w:rsidRPr="00FA5EC3">
        <w:rPr>
          <w:sz w:val="28"/>
          <w:szCs w:val="28"/>
          <w:lang w:val="uk-UA"/>
        </w:rPr>
        <w:t>Real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Instituto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Elcano</w:t>
      </w:r>
      <w:proofErr w:type="spellEnd"/>
      <w:r w:rsidRPr="00FA5EC3">
        <w:rPr>
          <w:sz w:val="28"/>
          <w:szCs w:val="28"/>
          <w:lang w:val="uk-UA"/>
        </w:rPr>
        <w:t>, 90 p. URL: http://www.realinstitutoelcano.org/wps/portal/rielcano_en/publication?WCM_GLOBAL_CONTEXT=/elcano/elcano_in/publications/elcano-global-presence-report-2015.</w:t>
      </w:r>
      <w:r w:rsidR="00AC4E10" w:rsidRPr="00AC4E10">
        <w:rPr>
          <w:lang w:val="en-US"/>
        </w:rPr>
        <w:t xml:space="preserve"> </w:t>
      </w:r>
      <w:r w:rsidR="00AC4E10" w:rsidRPr="00AC4E10">
        <w:rPr>
          <w:sz w:val="28"/>
          <w:szCs w:val="28"/>
          <w:lang w:val="uk-UA"/>
        </w:rPr>
        <w:t xml:space="preserve">Дата звернення: </w:t>
      </w:r>
      <w:r w:rsidR="00AC4E10">
        <w:rPr>
          <w:sz w:val="28"/>
          <w:szCs w:val="28"/>
          <w:lang w:val="uk-UA"/>
        </w:rPr>
        <w:t>27</w:t>
      </w:r>
      <w:r w:rsidR="00AC4E10" w:rsidRPr="00AC4E10">
        <w:rPr>
          <w:sz w:val="28"/>
          <w:szCs w:val="28"/>
          <w:lang w:val="uk-UA"/>
        </w:rPr>
        <w:t>.1</w:t>
      </w:r>
      <w:r w:rsidR="00AC4E10">
        <w:rPr>
          <w:sz w:val="28"/>
          <w:szCs w:val="28"/>
          <w:lang w:val="uk-UA"/>
        </w:rPr>
        <w:t>1</w:t>
      </w:r>
      <w:r w:rsidR="00AC4E10" w:rsidRPr="00AC4E10">
        <w:rPr>
          <w:sz w:val="28"/>
          <w:szCs w:val="28"/>
          <w:lang w:val="uk-UA"/>
        </w:rPr>
        <w:t>.2020</w:t>
      </w:r>
    </w:p>
    <w:p w:rsidR="00007743" w:rsidRPr="00FA5EC3" w:rsidRDefault="00007743" w:rsidP="000077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Peters</w:t>
      </w:r>
      <w:proofErr w:type="spellEnd"/>
      <w:r w:rsidRPr="00FA5EC3">
        <w:rPr>
          <w:sz w:val="28"/>
          <w:szCs w:val="28"/>
          <w:lang w:val="uk-UA"/>
        </w:rPr>
        <w:t xml:space="preserve"> J. </w:t>
      </w:r>
      <w:proofErr w:type="spellStart"/>
      <w:r w:rsidRPr="00FA5EC3">
        <w:rPr>
          <w:sz w:val="28"/>
          <w:szCs w:val="28"/>
          <w:lang w:val="uk-UA"/>
        </w:rPr>
        <w:t>Speaking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into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the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Air</w:t>
      </w:r>
      <w:proofErr w:type="spellEnd"/>
      <w:r w:rsidRPr="00FA5EC3">
        <w:rPr>
          <w:sz w:val="28"/>
          <w:szCs w:val="28"/>
          <w:lang w:val="uk-UA"/>
        </w:rPr>
        <w:t xml:space="preserve">: A </w:t>
      </w:r>
      <w:proofErr w:type="spellStart"/>
      <w:r w:rsidRPr="00FA5EC3">
        <w:rPr>
          <w:sz w:val="28"/>
          <w:szCs w:val="28"/>
          <w:lang w:val="uk-UA"/>
        </w:rPr>
        <w:t>History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of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the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Idea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of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Communication</w:t>
      </w:r>
      <w:proofErr w:type="spellEnd"/>
      <w:r w:rsidRPr="00FA5EC3">
        <w:rPr>
          <w:sz w:val="28"/>
          <w:szCs w:val="28"/>
          <w:lang w:val="uk-UA"/>
        </w:rPr>
        <w:t xml:space="preserve">. – </w:t>
      </w:r>
      <w:proofErr w:type="spellStart"/>
      <w:r w:rsidRPr="00FA5EC3">
        <w:rPr>
          <w:sz w:val="28"/>
          <w:szCs w:val="28"/>
          <w:lang w:val="uk-UA"/>
        </w:rPr>
        <w:t>Chicago</w:t>
      </w:r>
      <w:proofErr w:type="spellEnd"/>
      <w:r w:rsidRPr="00FA5EC3">
        <w:rPr>
          <w:sz w:val="28"/>
          <w:szCs w:val="28"/>
          <w:lang w:val="uk-UA"/>
        </w:rPr>
        <w:t xml:space="preserve"> : </w:t>
      </w:r>
      <w:proofErr w:type="spellStart"/>
      <w:r w:rsidRPr="00FA5EC3">
        <w:rPr>
          <w:sz w:val="28"/>
          <w:szCs w:val="28"/>
          <w:lang w:val="uk-UA"/>
        </w:rPr>
        <w:t>University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of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Chicago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Press</w:t>
      </w:r>
      <w:proofErr w:type="spellEnd"/>
      <w:r w:rsidRPr="00FA5EC3">
        <w:rPr>
          <w:sz w:val="28"/>
          <w:szCs w:val="28"/>
          <w:lang w:val="uk-UA"/>
        </w:rPr>
        <w:t>, 1999. – 304 p.</w:t>
      </w:r>
    </w:p>
    <w:p w:rsidR="00007743" w:rsidRPr="00FA5EC3" w:rsidRDefault="00007743" w:rsidP="000077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Quebral</w:t>
      </w:r>
      <w:proofErr w:type="spellEnd"/>
      <w:r w:rsidRPr="00FA5EC3">
        <w:rPr>
          <w:sz w:val="28"/>
          <w:szCs w:val="28"/>
          <w:lang w:val="uk-UA"/>
        </w:rPr>
        <w:t xml:space="preserve">, N. C. (2011). </w:t>
      </w:r>
      <w:proofErr w:type="spellStart"/>
      <w:r w:rsidRPr="00FA5EC3">
        <w:rPr>
          <w:sz w:val="28"/>
          <w:szCs w:val="28"/>
          <w:lang w:val="uk-UA"/>
        </w:rPr>
        <w:t>DevCom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Los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Banos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Style</w:t>
      </w:r>
      <w:proofErr w:type="spellEnd"/>
      <w:r w:rsidRPr="00FA5EC3">
        <w:rPr>
          <w:sz w:val="28"/>
          <w:szCs w:val="28"/>
          <w:lang w:val="uk-UA"/>
        </w:rPr>
        <w:t xml:space="preserve">. </w:t>
      </w:r>
      <w:proofErr w:type="spellStart"/>
      <w:r w:rsidRPr="00FA5EC3">
        <w:rPr>
          <w:sz w:val="28"/>
          <w:szCs w:val="28"/>
          <w:lang w:val="uk-UA"/>
        </w:rPr>
        <w:t>Lecture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delivered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during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the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Honorary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Doctorate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Celebration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Seminar</w:t>
      </w:r>
      <w:proofErr w:type="spellEnd"/>
      <w:r w:rsidRPr="00FA5EC3">
        <w:rPr>
          <w:sz w:val="28"/>
          <w:szCs w:val="28"/>
          <w:lang w:val="uk-UA"/>
        </w:rPr>
        <w:t xml:space="preserve">, LSE, </w:t>
      </w:r>
      <w:proofErr w:type="spellStart"/>
      <w:r w:rsidRPr="00FA5EC3">
        <w:rPr>
          <w:sz w:val="28"/>
          <w:szCs w:val="28"/>
          <w:lang w:val="uk-UA"/>
        </w:rPr>
        <w:t>University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of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London</w:t>
      </w:r>
      <w:proofErr w:type="spellEnd"/>
      <w:r w:rsidRPr="00FA5EC3">
        <w:rPr>
          <w:sz w:val="28"/>
          <w:szCs w:val="28"/>
          <w:lang w:val="uk-UA"/>
        </w:rPr>
        <w:t xml:space="preserve">, </w:t>
      </w:r>
      <w:proofErr w:type="spellStart"/>
      <w:r w:rsidRPr="00FA5EC3">
        <w:rPr>
          <w:sz w:val="28"/>
          <w:szCs w:val="28"/>
          <w:lang w:val="uk-UA"/>
        </w:rPr>
        <w:t>December</w:t>
      </w:r>
      <w:proofErr w:type="spellEnd"/>
      <w:r w:rsidRPr="00FA5EC3">
        <w:rPr>
          <w:sz w:val="28"/>
          <w:szCs w:val="28"/>
          <w:lang w:val="uk-UA"/>
        </w:rPr>
        <w:t xml:space="preserve"> 2011.</w:t>
      </w:r>
    </w:p>
    <w:p w:rsidR="00007743" w:rsidRPr="00FA5EC3" w:rsidRDefault="00007743" w:rsidP="000077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Quebral</w:t>
      </w:r>
      <w:proofErr w:type="spellEnd"/>
      <w:r w:rsidRPr="00FA5EC3">
        <w:rPr>
          <w:sz w:val="28"/>
          <w:szCs w:val="28"/>
          <w:lang w:val="uk-UA"/>
        </w:rPr>
        <w:t>, N.C. (1975). "</w:t>
      </w:r>
      <w:proofErr w:type="spellStart"/>
      <w:r w:rsidRPr="00FA5EC3">
        <w:rPr>
          <w:sz w:val="28"/>
          <w:szCs w:val="28"/>
          <w:lang w:val="uk-UA"/>
        </w:rPr>
        <w:t>Development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communication</w:t>
      </w:r>
      <w:proofErr w:type="spellEnd"/>
      <w:r w:rsidRPr="00FA5EC3">
        <w:rPr>
          <w:sz w:val="28"/>
          <w:szCs w:val="28"/>
          <w:lang w:val="uk-UA"/>
        </w:rPr>
        <w:t xml:space="preserve">: </w:t>
      </w:r>
      <w:proofErr w:type="spellStart"/>
      <w:r w:rsidRPr="00FA5EC3">
        <w:rPr>
          <w:sz w:val="28"/>
          <w:szCs w:val="28"/>
          <w:lang w:val="uk-UA"/>
        </w:rPr>
        <w:t>Where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does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it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stand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today</w:t>
      </w:r>
      <w:proofErr w:type="spellEnd"/>
      <w:r w:rsidRPr="00FA5EC3">
        <w:rPr>
          <w:sz w:val="28"/>
          <w:szCs w:val="28"/>
          <w:lang w:val="uk-UA"/>
        </w:rPr>
        <w:t xml:space="preserve">?". </w:t>
      </w:r>
      <w:proofErr w:type="spellStart"/>
      <w:r w:rsidRPr="00FA5EC3">
        <w:rPr>
          <w:sz w:val="28"/>
          <w:szCs w:val="28"/>
          <w:lang w:val="uk-UA"/>
        </w:rPr>
        <w:t>Media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Asia</w:t>
      </w:r>
      <w:proofErr w:type="spellEnd"/>
      <w:r w:rsidRPr="00FA5EC3">
        <w:rPr>
          <w:sz w:val="28"/>
          <w:szCs w:val="28"/>
          <w:lang w:val="uk-UA"/>
        </w:rPr>
        <w:t>. 2 (4): 197–202.</w:t>
      </w:r>
    </w:p>
    <w:p w:rsidR="00007743" w:rsidRPr="00FA5EC3" w:rsidRDefault="00007743" w:rsidP="000077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Quebral</w:t>
      </w:r>
      <w:proofErr w:type="spellEnd"/>
      <w:r w:rsidRPr="00FA5EC3">
        <w:rPr>
          <w:sz w:val="28"/>
          <w:szCs w:val="28"/>
          <w:lang w:val="uk-UA"/>
        </w:rPr>
        <w:t xml:space="preserve">, </w:t>
      </w:r>
      <w:proofErr w:type="spellStart"/>
      <w:r w:rsidRPr="00FA5EC3">
        <w:rPr>
          <w:sz w:val="28"/>
          <w:szCs w:val="28"/>
          <w:lang w:val="uk-UA"/>
        </w:rPr>
        <w:t>Nora</w:t>
      </w:r>
      <w:proofErr w:type="spellEnd"/>
      <w:r w:rsidRPr="00FA5EC3">
        <w:rPr>
          <w:sz w:val="28"/>
          <w:szCs w:val="28"/>
          <w:lang w:val="uk-UA"/>
        </w:rPr>
        <w:t xml:space="preserve"> C. (1972–1973). "</w:t>
      </w:r>
      <w:proofErr w:type="spellStart"/>
      <w:r w:rsidRPr="00FA5EC3">
        <w:rPr>
          <w:sz w:val="28"/>
          <w:szCs w:val="28"/>
          <w:lang w:val="uk-UA"/>
        </w:rPr>
        <w:t>What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Do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We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Mean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by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'Development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Communication'</w:t>
      </w:r>
      <w:proofErr w:type="spellEnd"/>
      <w:r w:rsidRPr="00FA5EC3">
        <w:rPr>
          <w:sz w:val="28"/>
          <w:szCs w:val="28"/>
          <w:lang w:val="uk-UA"/>
        </w:rPr>
        <w:t xml:space="preserve">?". </w:t>
      </w:r>
      <w:proofErr w:type="spellStart"/>
      <w:r w:rsidRPr="00FA5EC3">
        <w:rPr>
          <w:sz w:val="28"/>
          <w:szCs w:val="28"/>
          <w:lang w:val="uk-UA"/>
        </w:rPr>
        <w:t>International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Development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Review</w:t>
      </w:r>
      <w:proofErr w:type="spellEnd"/>
      <w:r w:rsidRPr="00FA5EC3">
        <w:rPr>
          <w:sz w:val="28"/>
          <w:szCs w:val="28"/>
          <w:lang w:val="uk-UA"/>
        </w:rPr>
        <w:t>. 15 (2): 25–28.</w:t>
      </w:r>
    </w:p>
    <w:p w:rsidR="00007743" w:rsidRPr="00FA5EC3" w:rsidRDefault="00007743" w:rsidP="000077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Schneider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Jiri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Globalization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and</w:t>
      </w:r>
      <w:proofErr w:type="spellEnd"/>
      <w:r w:rsidRPr="00FA5EC3">
        <w:rPr>
          <w:sz w:val="28"/>
          <w:szCs w:val="28"/>
          <w:lang w:val="uk-UA"/>
        </w:rPr>
        <w:t xml:space="preserve"> think-</w:t>
      </w:r>
      <w:proofErr w:type="spellStart"/>
      <w:r w:rsidRPr="00FA5EC3">
        <w:rPr>
          <w:sz w:val="28"/>
          <w:szCs w:val="28"/>
          <w:lang w:val="uk-UA"/>
        </w:rPr>
        <w:t>tanks</w:t>
      </w:r>
      <w:proofErr w:type="spellEnd"/>
      <w:r w:rsidRPr="00FA5EC3">
        <w:rPr>
          <w:sz w:val="28"/>
          <w:szCs w:val="28"/>
          <w:lang w:val="uk-UA"/>
        </w:rPr>
        <w:t xml:space="preserve"> // SAREM </w:t>
      </w:r>
      <w:proofErr w:type="spellStart"/>
      <w:r w:rsidRPr="00FA5EC3">
        <w:rPr>
          <w:sz w:val="28"/>
          <w:szCs w:val="28"/>
          <w:lang w:val="uk-UA"/>
        </w:rPr>
        <w:t>International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seminar</w:t>
      </w:r>
      <w:proofErr w:type="spellEnd"/>
      <w:r w:rsidRPr="00FA5EC3">
        <w:rPr>
          <w:sz w:val="28"/>
          <w:szCs w:val="28"/>
          <w:lang w:val="uk-UA"/>
        </w:rPr>
        <w:t xml:space="preserve">. — </w:t>
      </w:r>
      <w:proofErr w:type="spellStart"/>
      <w:r w:rsidRPr="00FA5EC3">
        <w:rPr>
          <w:sz w:val="28"/>
          <w:szCs w:val="28"/>
          <w:lang w:val="uk-UA"/>
        </w:rPr>
        <w:t>Istanbul</w:t>
      </w:r>
      <w:proofErr w:type="spellEnd"/>
      <w:r w:rsidRPr="00FA5EC3">
        <w:rPr>
          <w:sz w:val="28"/>
          <w:szCs w:val="28"/>
          <w:lang w:val="uk-UA"/>
        </w:rPr>
        <w:t>, 2003.</w:t>
      </w:r>
    </w:p>
    <w:p w:rsidR="00007743" w:rsidRPr="00FA5EC3" w:rsidRDefault="00007743" w:rsidP="000077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Smith</w:t>
      </w:r>
      <w:proofErr w:type="spellEnd"/>
      <w:r w:rsidRPr="00FA5EC3">
        <w:rPr>
          <w:sz w:val="28"/>
          <w:szCs w:val="28"/>
          <w:lang w:val="uk-UA"/>
        </w:rPr>
        <w:t xml:space="preserve"> J. A. </w:t>
      </w:r>
      <w:proofErr w:type="spellStart"/>
      <w:r w:rsidRPr="00FA5EC3">
        <w:rPr>
          <w:sz w:val="28"/>
          <w:szCs w:val="28"/>
          <w:lang w:val="uk-UA"/>
        </w:rPr>
        <w:t>The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Idea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Brokers</w:t>
      </w:r>
      <w:proofErr w:type="spellEnd"/>
      <w:r w:rsidRPr="00FA5EC3">
        <w:rPr>
          <w:sz w:val="28"/>
          <w:szCs w:val="28"/>
          <w:lang w:val="uk-UA"/>
        </w:rPr>
        <w:t xml:space="preserve">: </w:t>
      </w:r>
      <w:proofErr w:type="spellStart"/>
      <w:r w:rsidRPr="00FA5EC3">
        <w:rPr>
          <w:sz w:val="28"/>
          <w:szCs w:val="28"/>
          <w:lang w:val="uk-UA"/>
        </w:rPr>
        <w:t>Think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Tanks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and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the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Rise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of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the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New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Policy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Elite</w:t>
      </w:r>
      <w:proofErr w:type="spellEnd"/>
      <w:r w:rsidRPr="00FA5EC3">
        <w:rPr>
          <w:sz w:val="28"/>
          <w:szCs w:val="28"/>
          <w:lang w:val="uk-UA"/>
        </w:rPr>
        <w:t>. — [</w:t>
      </w:r>
      <w:proofErr w:type="spellStart"/>
      <w:r w:rsidRPr="00FA5EC3">
        <w:rPr>
          <w:sz w:val="28"/>
          <w:szCs w:val="28"/>
          <w:lang w:val="uk-UA"/>
        </w:rPr>
        <w:t>s.l</w:t>
      </w:r>
      <w:proofErr w:type="spellEnd"/>
      <w:r w:rsidRPr="00FA5EC3">
        <w:rPr>
          <w:sz w:val="28"/>
          <w:szCs w:val="28"/>
          <w:lang w:val="uk-UA"/>
        </w:rPr>
        <w:t xml:space="preserve">.]: </w:t>
      </w:r>
      <w:proofErr w:type="spellStart"/>
      <w:r w:rsidRPr="00FA5EC3">
        <w:rPr>
          <w:sz w:val="28"/>
          <w:szCs w:val="28"/>
          <w:lang w:val="uk-UA"/>
        </w:rPr>
        <w:t>Free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Press</w:t>
      </w:r>
      <w:proofErr w:type="spellEnd"/>
      <w:r w:rsidRPr="00FA5EC3">
        <w:rPr>
          <w:sz w:val="28"/>
          <w:szCs w:val="28"/>
          <w:lang w:val="uk-UA"/>
        </w:rPr>
        <w:t>, 2004.</w:t>
      </w:r>
    </w:p>
    <w:p w:rsidR="00007743" w:rsidRPr="00FA5EC3" w:rsidRDefault="00007743" w:rsidP="000077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Systems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Theory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Paradigm</w:t>
      </w:r>
      <w:proofErr w:type="spellEnd"/>
      <w:r w:rsidRPr="00FA5EC3">
        <w:rPr>
          <w:sz w:val="28"/>
          <w:szCs w:val="28"/>
          <w:lang w:val="uk-UA"/>
        </w:rPr>
        <w:t xml:space="preserve"> [</w:t>
      </w:r>
      <w:proofErr w:type="spellStart"/>
      <w:r w:rsidRPr="00FA5EC3">
        <w:rPr>
          <w:sz w:val="28"/>
          <w:szCs w:val="28"/>
          <w:lang w:val="uk-UA"/>
        </w:rPr>
        <w:t>Electronic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resource</w:t>
      </w:r>
      <w:proofErr w:type="spellEnd"/>
      <w:r w:rsidRPr="00FA5EC3">
        <w:rPr>
          <w:sz w:val="28"/>
          <w:szCs w:val="28"/>
          <w:lang w:val="uk-UA"/>
        </w:rPr>
        <w:t xml:space="preserve">] // </w:t>
      </w:r>
      <w:proofErr w:type="spellStart"/>
      <w:r w:rsidRPr="00FA5EC3">
        <w:rPr>
          <w:sz w:val="28"/>
          <w:szCs w:val="28"/>
          <w:lang w:val="uk-UA"/>
        </w:rPr>
        <w:t>Mode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of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access</w:t>
      </w:r>
      <w:proofErr w:type="spellEnd"/>
      <w:r w:rsidRPr="00FA5EC3">
        <w:rPr>
          <w:sz w:val="28"/>
          <w:szCs w:val="28"/>
          <w:lang w:val="uk-UA"/>
        </w:rPr>
        <w:t xml:space="preserve"> : https://courses.lumenlearning.com/suny-introductiontocommunication/chapter/systems-theory-paradigm/. – </w:t>
      </w:r>
      <w:proofErr w:type="spellStart"/>
      <w:r w:rsidRPr="00FA5EC3">
        <w:rPr>
          <w:sz w:val="28"/>
          <w:szCs w:val="28"/>
          <w:lang w:val="uk-UA"/>
        </w:rPr>
        <w:t>Title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from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the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screen</w:t>
      </w:r>
      <w:proofErr w:type="spellEnd"/>
      <w:r w:rsidRPr="00FA5EC3">
        <w:rPr>
          <w:sz w:val="28"/>
          <w:szCs w:val="28"/>
          <w:lang w:val="uk-UA"/>
        </w:rPr>
        <w:t>.</w:t>
      </w:r>
    </w:p>
    <w:p w:rsidR="00007743" w:rsidRPr="00FA5EC3" w:rsidRDefault="00007743" w:rsidP="00AC4E1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The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Global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Technology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Revolution</w:t>
      </w:r>
      <w:proofErr w:type="spellEnd"/>
      <w:r w:rsidRPr="00FA5EC3">
        <w:rPr>
          <w:sz w:val="28"/>
          <w:szCs w:val="28"/>
          <w:lang w:val="uk-UA"/>
        </w:rPr>
        <w:t xml:space="preserve"> 2020, In-Depth </w:t>
      </w:r>
      <w:proofErr w:type="spellStart"/>
      <w:r w:rsidRPr="00FA5EC3">
        <w:rPr>
          <w:sz w:val="28"/>
          <w:szCs w:val="28"/>
          <w:lang w:val="uk-UA"/>
        </w:rPr>
        <w:t>Analyses</w:t>
      </w:r>
      <w:proofErr w:type="spellEnd"/>
      <w:r w:rsidRPr="00FA5EC3">
        <w:rPr>
          <w:sz w:val="28"/>
          <w:szCs w:val="28"/>
          <w:lang w:val="uk-UA"/>
        </w:rPr>
        <w:t xml:space="preserve"> (</w:t>
      </w:r>
      <w:proofErr w:type="spellStart"/>
      <w:r w:rsidRPr="00FA5EC3">
        <w:rPr>
          <w:sz w:val="28"/>
          <w:szCs w:val="28"/>
          <w:lang w:val="uk-UA"/>
        </w:rPr>
        <w:t>Bio</w:t>
      </w:r>
      <w:proofErr w:type="spellEnd"/>
      <w:r w:rsidRPr="00FA5EC3">
        <w:rPr>
          <w:sz w:val="28"/>
          <w:szCs w:val="28"/>
          <w:lang w:val="uk-UA"/>
        </w:rPr>
        <w:t>/</w:t>
      </w:r>
      <w:proofErr w:type="spellStart"/>
      <w:r w:rsidRPr="00FA5EC3">
        <w:rPr>
          <w:sz w:val="28"/>
          <w:szCs w:val="28"/>
          <w:lang w:val="uk-UA"/>
        </w:rPr>
        <w:t>Nano</w:t>
      </w:r>
      <w:proofErr w:type="spellEnd"/>
      <w:r w:rsidRPr="00FA5EC3">
        <w:rPr>
          <w:sz w:val="28"/>
          <w:szCs w:val="28"/>
          <w:lang w:val="uk-UA"/>
        </w:rPr>
        <w:t>/</w:t>
      </w:r>
      <w:proofErr w:type="spellStart"/>
      <w:r w:rsidRPr="00FA5EC3">
        <w:rPr>
          <w:sz w:val="28"/>
          <w:szCs w:val="28"/>
          <w:lang w:val="uk-UA"/>
        </w:rPr>
        <w:t>Materials</w:t>
      </w:r>
      <w:proofErr w:type="spellEnd"/>
      <w:r w:rsidRPr="00FA5EC3">
        <w:rPr>
          <w:sz w:val="28"/>
          <w:szCs w:val="28"/>
          <w:lang w:val="uk-UA"/>
        </w:rPr>
        <w:t>/</w:t>
      </w:r>
      <w:proofErr w:type="spellStart"/>
      <w:r w:rsidRPr="00FA5EC3">
        <w:rPr>
          <w:sz w:val="28"/>
          <w:szCs w:val="28"/>
          <w:lang w:val="uk-UA"/>
        </w:rPr>
        <w:t>Information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Trends</w:t>
      </w:r>
      <w:proofErr w:type="spellEnd"/>
      <w:r w:rsidRPr="00FA5EC3">
        <w:rPr>
          <w:sz w:val="28"/>
          <w:szCs w:val="28"/>
          <w:lang w:val="uk-UA"/>
        </w:rPr>
        <w:t xml:space="preserve">, </w:t>
      </w:r>
      <w:proofErr w:type="spellStart"/>
      <w:r w:rsidRPr="00FA5EC3">
        <w:rPr>
          <w:sz w:val="28"/>
          <w:szCs w:val="28"/>
          <w:lang w:val="uk-UA"/>
        </w:rPr>
        <w:t>Drivers</w:t>
      </w:r>
      <w:proofErr w:type="spellEnd"/>
      <w:r w:rsidRPr="00FA5EC3">
        <w:rPr>
          <w:sz w:val="28"/>
          <w:szCs w:val="28"/>
          <w:lang w:val="uk-UA"/>
        </w:rPr>
        <w:t xml:space="preserve">, </w:t>
      </w:r>
      <w:proofErr w:type="spellStart"/>
      <w:r w:rsidRPr="00FA5EC3">
        <w:rPr>
          <w:sz w:val="28"/>
          <w:szCs w:val="28"/>
          <w:lang w:val="uk-UA"/>
        </w:rPr>
        <w:t>Barriers</w:t>
      </w:r>
      <w:proofErr w:type="spellEnd"/>
      <w:r w:rsidRPr="00FA5EC3">
        <w:rPr>
          <w:sz w:val="28"/>
          <w:szCs w:val="28"/>
          <w:lang w:val="uk-UA"/>
        </w:rPr>
        <w:t xml:space="preserve">, </w:t>
      </w:r>
      <w:proofErr w:type="spellStart"/>
      <w:r w:rsidRPr="00FA5EC3">
        <w:rPr>
          <w:sz w:val="28"/>
          <w:szCs w:val="28"/>
          <w:lang w:val="uk-UA"/>
        </w:rPr>
        <w:t>and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Social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Implications</w:t>
      </w:r>
      <w:proofErr w:type="spellEnd"/>
      <w:r w:rsidRPr="00FA5EC3">
        <w:rPr>
          <w:sz w:val="28"/>
          <w:szCs w:val="28"/>
          <w:lang w:val="uk-UA"/>
        </w:rPr>
        <w:t>) [Електронний ресурс]. – Режим доступу: http://www.rand.org/content/dam/rand/pubs/technical_reports/2006/RAND_ TR303.pdf.</w:t>
      </w:r>
      <w:r w:rsidR="00AC4E10" w:rsidRPr="00AC4E10">
        <w:rPr>
          <w:lang w:val="en-US"/>
        </w:rPr>
        <w:t xml:space="preserve"> </w:t>
      </w:r>
      <w:r w:rsidR="00AC4E10">
        <w:rPr>
          <w:sz w:val="28"/>
          <w:szCs w:val="28"/>
          <w:lang w:val="uk-UA"/>
        </w:rPr>
        <w:t>Дата звернення: 17.02.2021</w:t>
      </w:r>
    </w:p>
    <w:p w:rsidR="00007743" w:rsidRPr="00FA5EC3" w:rsidRDefault="00007743" w:rsidP="00AC4E1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The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Role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of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Science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and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Technology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in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the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context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of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International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Security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and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Disarmament</w:t>
      </w:r>
      <w:proofErr w:type="spellEnd"/>
      <w:r w:rsidRPr="00FA5EC3">
        <w:rPr>
          <w:sz w:val="28"/>
          <w:szCs w:val="28"/>
          <w:lang w:val="uk-UA"/>
        </w:rPr>
        <w:t xml:space="preserve"> [Електронний ресурс]. – Режим доступу: https://www.un.org/disarmament/ </w:t>
      </w:r>
      <w:proofErr w:type="spellStart"/>
      <w:r w:rsidRPr="00FA5EC3">
        <w:rPr>
          <w:sz w:val="28"/>
          <w:szCs w:val="28"/>
          <w:lang w:val="uk-UA"/>
        </w:rPr>
        <w:t>topics</w:t>
      </w:r>
      <w:proofErr w:type="spellEnd"/>
      <w:r w:rsidRPr="00FA5EC3">
        <w:rPr>
          <w:sz w:val="28"/>
          <w:szCs w:val="28"/>
          <w:lang w:val="uk-UA"/>
        </w:rPr>
        <w:t xml:space="preserve">/ </w:t>
      </w:r>
      <w:proofErr w:type="spellStart"/>
      <w:r w:rsidRPr="00FA5EC3">
        <w:rPr>
          <w:sz w:val="28"/>
          <w:szCs w:val="28"/>
          <w:lang w:val="uk-UA"/>
        </w:rPr>
        <w:t>scienceandtechnology</w:t>
      </w:r>
      <w:proofErr w:type="spellEnd"/>
      <w:r w:rsidRPr="00FA5EC3">
        <w:rPr>
          <w:sz w:val="28"/>
          <w:szCs w:val="28"/>
          <w:lang w:val="uk-UA"/>
        </w:rPr>
        <w:t xml:space="preserve">. </w:t>
      </w:r>
      <w:r w:rsidR="00AC4E10">
        <w:rPr>
          <w:sz w:val="28"/>
          <w:szCs w:val="28"/>
          <w:lang w:val="uk-UA"/>
        </w:rPr>
        <w:t>Дата звернення: 13.02</w:t>
      </w:r>
      <w:r w:rsidR="00AC4E10" w:rsidRPr="00AC4E10">
        <w:rPr>
          <w:sz w:val="28"/>
          <w:szCs w:val="28"/>
          <w:lang w:val="uk-UA"/>
        </w:rPr>
        <w:t>.202</w:t>
      </w:r>
      <w:r w:rsidR="00AC4E10">
        <w:rPr>
          <w:sz w:val="28"/>
          <w:szCs w:val="28"/>
          <w:lang w:val="uk-UA"/>
        </w:rPr>
        <w:t>1</w:t>
      </w:r>
    </w:p>
    <w:p w:rsidR="00007743" w:rsidRPr="00FA5EC3" w:rsidRDefault="00007743" w:rsidP="000077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Thussu</w:t>
      </w:r>
      <w:proofErr w:type="spellEnd"/>
      <w:r w:rsidRPr="00FA5EC3">
        <w:rPr>
          <w:sz w:val="28"/>
          <w:szCs w:val="28"/>
          <w:lang w:val="uk-UA"/>
        </w:rPr>
        <w:t xml:space="preserve">, D.K. (2006). </w:t>
      </w:r>
      <w:proofErr w:type="spellStart"/>
      <w:r w:rsidRPr="00FA5EC3">
        <w:rPr>
          <w:sz w:val="28"/>
          <w:szCs w:val="28"/>
          <w:lang w:val="uk-UA"/>
        </w:rPr>
        <w:t>International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Communication</w:t>
      </w:r>
      <w:proofErr w:type="spellEnd"/>
      <w:r w:rsidRPr="00FA5EC3">
        <w:rPr>
          <w:sz w:val="28"/>
          <w:szCs w:val="28"/>
          <w:lang w:val="uk-UA"/>
        </w:rPr>
        <w:t xml:space="preserve">: </w:t>
      </w:r>
      <w:proofErr w:type="spellStart"/>
      <w:r w:rsidRPr="00FA5EC3">
        <w:rPr>
          <w:sz w:val="28"/>
          <w:szCs w:val="28"/>
          <w:lang w:val="uk-UA"/>
        </w:rPr>
        <w:t>Continuity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and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Change</w:t>
      </w:r>
      <w:proofErr w:type="spellEnd"/>
      <w:r w:rsidRPr="00FA5EC3">
        <w:rPr>
          <w:sz w:val="28"/>
          <w:szCs w:val="28"/>
          <w:lang w:val="uk-UA"/>
        </w:rPr>
        <w:t xml:space="preserve">. </w:t>
      </w:r>
      <w:proofErr w:type="spellStart"/>
      <w:r w:rsidRPr="00FA5EC3">
        <w:rPr>
          <w:sz w:val="28"/>
          <w:szCs w:val="28"/>
          <w:lang w:val="uk-UA"/>
        </w:rPr>
        <w:t>Hodder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Education</w:t>
      </w:r>
      <w:proofErr w:type="spellEnd"/>
      <w:r w:rsidRPr="00FA5EC3">
        <w:rPr>
          <w:sz w:val="28"/>
          <w:szCs w:val="28"/>
          <w:lang w:val="uk-UA"/>
        </w:rPr>
        <w:t>. p. 224.</w:t>
      </w:r>
    </w:p>
    <w:p w:rsidR="00007743" w:rsidRPr="00FA5EC3" w:rsidRDefault="00007743" w:rsidP="000077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Thussu</w:t>
      </w:r>
      <w:proofErr w:type="spellEnd"/>
      <w:r w:rsidRPr="00FA5EC3">
        <w:rPr>
          <w:sz w:val="28"/>
          <w:szCs w:val="28"/>
          <w:lang w:val="uk-UA"/>
        </w:rPr>
        <w:t>, D.K.(2006)</w:t>
      </w:r>
      <w:proofErr w:type="spellStart"/>
      <w:r w:rsidRPr="00FA5EC3">
        <w:rPr>
          <w:sz w:val="28"/>
          <w:szCs w:val="28"/>
          <w:lang w:val="uk-UA"/>
        </w:rPr>
        <w:t>.International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Communication</w:t>
      </w:r>
      <w:proofErr w:type="spellEnd"/>
      <w:r w:rsidRPr="00FA5EC3">
        <w:rPr>
          <w:sz w:val="28"/>
          <w:szCs w:val="28"/>
          <w:lang w:val="uk-UA"/>
        </w:rPr>
        <w:t xml:space="preserve">: </w:t>
      </w:r>
      <w:proofErr w:type="spellStart"/>
      <w:r w:rsidRPr="00FA5EC3">
        <w:rPr>
          <w:sz w:val="28"/>
          <w:szCs w:val="28"/>
          <w:lang w:val="uk-UA"/>
        </w:rPr>
        <w:t>Continuity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and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Change</w:t>
      </w:r>
      <w:proofErr w:type="spellEnd"/>
      <w:r w:rsidRPr="00FA5EC3">
        <w:rPr>
          <w:sz w:val="28"/>
          <w:szCs w:val="28"/>
          <w:lang w:val="uk-UA"/>
        </w:rPr>
        <w:t xml:space="preserve">. </w:t>
      </w:r>
      <w:proofErr w:type="spellStart"/>
      <w:r w:rsidRPr="00FA5EC3">
        <w:rPr>
          <w:sz w:val="28"/>
          <w:szCs w:val="28"/>
          <w:lang w:val="uk-UA"/>
        </w:rPr>
        <w:t>London</w:t>
      </w:r>
      <w:proofErr w:type="spellEnd"/>
      <w:r w:rsidRPr="00FA5EC3">
        <w:rPr>
          <w:sz w:val="28"/>
          <w:szCs w:val="28"/>
          <w:lang w:val="uk-UA"/>
        </w:rPr>
        <w:t>:</w:t>
      </w:r>
      <w:proofErr w:type="spellStart"/>
      <w:r w:rsidRPr="00FA5EC3">
        <w:rPr>
          <w:sz w:val="28"/>
          <w:szCs w:val="28"/>
          <w:lang w:val="uk-UA"/>
        </w:rPr>
        <w:t>Hodder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Education</w:t>
      </w:r>
      <w:proofErr w:type="spellEnd"/>
      <w:r w:rsidRPr="00FA5EC3">
        <w:rPr>
          <w:sz w:val="28"/>
          <w:szCs w:val="28"/>
          <w:lang w:val="uk-UA"/>
        </w:rPr>
        <w:t>.</w:t>
      </w:r>
    </w:p>
    <w:p w:rsidR="00007743" w:rsidRPr="00FA5EC3" w:rsidRDefault="00007743" w:rsidP="0000774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FA5EC3">
        <w:rPr>
          <w:sz w:val="28"/>
          <w:szCs w:val="28"/>
          <w:lang w:val="uk-UA"/>
        </w:rPr>
        <w:t>Voltmeter</w:t>
      </w:r>
      <w:proofErr w:type="spellEnd"/>
      <w:r w:rsidRPr="00FA5EC3">
        <w:rPr>
          <w:sz w:val="28"/>
          <w:szCs w:val="28"/>
          <w:lang w:val="uk-UA"/>
        </w:rPr>
        <w:t xml:space="preserve">, </w:t>
      </w:r>
      <w:proofErr w:type="spellStart"/>
      <w:r w:rsidRPr="00FA5EC3">
        <w:rPr>
          <w:sz w:val="28"/>
          <w:szCs w:val="28"/>
          <w:lang w:val="uk-UA"/>
        </w:rPr>
        <w:t>Ingrid</w:t>
      </w:r>
      <w:proofErr w:type="spellEnd"/>
      <w:r w:rsidRPr="00FA5EC3">
        <w:rPr>
          <w:sz w:val="28"/>
          <w:szCs w:val="28"/>
          <w:lang w:val="uk-UA"/>
        </w:rPr>
        <w:t>. "</w:t>
      </w:r>
      <w:proofErr w:type="spellStart"/>
      <w:r w:rsidRPr="00FA5EC3">
        <w:rPr>
          <w:sz w:val="28"/>
          <w:szCs w:val="28"/>
          <w:lang w:val="uk-UA"/>
        </w:rPr>
        <w:t>International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Communication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Theory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in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Transition</w:t>
      </w:r>
      <w:proofErr w:type="spellEnd"/>
      <w:r w:rsidRPr="00FA5EC3">
        <w:rPr>
          <w:sz w:val="28"/>
          <w:szCs w:val="28"/>
          <w:lang w:val="uk-UA"/>
        </w:rPr>
        <w:t xml:space="preserve">: </w:t>
      </w:r>
      <w:proofErr w:type="spellStart"/>
      <w:r w:rsidRPr="00FA5EC3">
        <w:rPr>
          <w:sz w:val="28"/>
          <w:szCs w:val="28"/>
          <w:lang w:val="uk-UA"/>
        </w:rPr>
        <w:t>Parameters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of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the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New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Global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Public</w:t>
      </w:r>
      <w:proofErr w:type="spellEnd"/>
      <w:r w:rsidRPr="00FA5EC3">
        <w:rPr>
          <w:sz w:val="28"/>
          <w:szCs w:val="28"/>
          <w:lang w:val="uk-UA"/>
        </w:rPr>
        <w:t xml:space="preserve"> </w:t>
      </w:r>
      <w:proofErr w:type="spellStart"/>
      <w:r w:rsidRPr="00FA5EC3">
        <w:rPr>
          <w:sz w:val="28"/>
          <w:szCs w:val="28"/>
          <w:lang w:val="uk-UA"/>
        </w:rPr>
        <w:t>Sphere</w:t>
      </w:r>
      <w:proofErr w:type="spellEnd"/>
      <w:r w:rsidRPr="00FA5EC3">
        <w:rPr>
          <w:sz w:val="28"/>
          <w:szCs w:val="28"/>
          <w:lang w:val="uk-UA"/>
        </w:rPr>
        <w:t xml:space="preserve">". </w:t>
      </w:r>
      <w:proofErr w:type="spellStart"/>
      <w:r w:rsidRPr="00FA5EC3">
        <w:rPr>
          <w:sz w:val="28"/>
          <w:szCs w:val="28"/>
          <w:lang w:val="uk-UA"/>
        </w:rPr>
        <w:t>Retrieved</w:t>
      </w:r>
      <w:proofErr w:type="spellEnd"/>
      <w:r w:rsidRPr="00FA5EC3">
        <w:rPr>
          <w:sz w:val="28"/>
          <w:szCs w:val="28"/>
          <w:lang w:val="uk-UA"/>
        </w:rPr>
        <w:t xml:space="preserve"> 23 </w:t>
      </w:r>
      <w:proofErr w:type="spellStart"/>
      <w:r w:rsidRPr="00FA5EC3">
        <w:rPr>
          <w:sz w:val="28"/>
          <w:szCs w:val="28"/>
          <w:lang w:val="uk-UA"/>
        </w:rPr>
        <w:t>November</w:t>
      </w:r>
      <w:proofErr w:type="spellEnd"/>
      <w:r w:rsidRPr="00FA5EC3">
        <w:rPr>
          <w:sz w:val="28"/>
          <w:szCs w:val="28"/>
          <w:lang w:val="uk-UA"/>
        </w:rPr>
        <w:t xml:space="preserve"> 2012.</w:t>
      </w:r>
    </w:p>
    <w:p w:rsidR="00007743" w:rsidRDefault="00007743" w:rsidP="00007743">
      <w:pPr>
        <w:pStyle w:val="a3"/>
        <w:ind w:left="426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007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7DCE"/>
    <w:multiLevelType w:val="hybridMultilevel"/>
    <w:tmpl w:val="418C0D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17246"/>
    <w:multiLevelType w:val="hybridMultilevel"/>
    <w:tmpl w:val="55588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019D5"/>
    <w:multiLevelType w:val="hybridMultilevel"/>
    <w:tmpl w:val="65A0476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7D7832B8"/>
    <w:multiLevelType w:val="hybridMultilevel"/>
    <w:tmpl w:val="065C55F2"/>
    <w:lvl w:ilvl="0" w:tplc="53E02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43"/>
    <w:rsid w:val="00007743"/>
    <w:rsid w:val="001156A7"/>
    <w:rsid w:val="002B08DE"/>
    <w:rsid w:val="004D2D4A"/>
    <w:rsid w:val="006773DC"/>
    <w:rsid w:val="0089743C"/>
    <w:rsid w:val="00A571C5"/>
    <w:rsid w:val="00A81E38"/>
    <w:rsid w:val="00A90589"/>
    <w:rsid w:val="00AC4E10"/>
    <w:rsid w:val="00EE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7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77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7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77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ps-centre.org/wp-content/uploads/Technology_Assessment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ecd.org/dev/DevCom%20Publication%20Good%20Practices%20in%20Development%20Communica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cef.org/cbsc/index_42328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3380</Words>
  <Characters>19267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BUSIK</dc:creator>
  <cp:lastModifiedBy>BUSIK</cp:lastModifiedBy>
  <cp:revision>9</cp:revision>
  <dcterms:created xsi:type="dcterms:W3CDTF">2021-06-30T06:29:00Z</dcterms:created>
  <dcterms:modified xsi:type="dcterms:W3CDTF">2021-06-30T12:53:00Z</dcterms:modified>
</cp:coreProperties>
</file>