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0" w:rsidRPr="0043329E" w:rsidRDefault="00413EA0" w:rsidP="00413EA0">
      <w:pPr>
        <w:jc w:val="center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>«М’яка сила» КНР</w:t>
      </w:r>
    </w:p>
    <w:p w:rsidR="00413EA0" w:rsidRDefault="00413EA0" w:rsidP="00413EA0">
      <w:pPr>
        <w:rPr>
          <w:lang w:val="uk-UA"/>
        </w:rPr>
      </w:pPr>
      <w:r w:rsidRPr="00012FF2">
        <w:rPr>
          <w:b/>
          <w:bCs/>
          <w:lang w:val="uk-UA"/>
        </w:rPr>
        <w:t>Мета</w:t>
      </w:r>
      <w:r>
        <w:rPr>
          <w:lang w:val="uk-UA"/>
        </w:rPr>
        <w:t xml:space="preserve">: покращити показники могутності Китаю порівняно </w:t>
      </w:r>
      <w:r w:rsidR="00D000AD">
        <w:rPr>
          <w:lang w:val="uk-UA"/>
        </w:rPr>
        <w:t>на міжнародній арені</w:t>
      </w:r>
      <w:r>
        <w:rPr>
          <w:lang w:val="uk-UA"/>
        </w:rPr>
        <w:t xml:space="preserve"> за рахунок «м’якої сили».</w:t>
      </w:r>
    </w:p>
    <w:p w:rsidR="00413EA0" w:rsidRDefault="00413EA0" w:rsidP="00413EA0">
      <w:pPr>
        <w:rPr>
          <w:lang w:val="uk-UA"/>
        </w:rPr>
      </w:pPr>
      <w:r w:rsidRPr="00012FF2">
        <w:rPr>
          <w:b/>
          <w:bCs/>
          <w:lang w:val="uk-UA"/>
        </w:rPr>
        <w:t>Завдання</w:t>
      </w:r>
      <w:r>
        <w:rPr>
          <w:lang w:val="uk-UA"/>
        </w:rPr>
        <w:t xml:space="preserve">: </w:t>
      </w:r>
    </w:p>
    <w:p w:rsidR="00413EA0" w:rsidRPr="00012FF2" w:rsidRDefault="00413EA0" w:rsidP="00413EA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визначити складники «м’якої сили» та відповідні змінювані параметри;</w:t>
      </w:r>
    </w:p>
    <w:p w:rsidR="00413EA0" w:rsidRDefault="00413EA0" w:rsidP="00413EA0">
      <w:pPr>
        <w:pStyle w:val="a3"/>
        <w:numPr>
          <w:ilvl w:val="0"/>
          <w:numId w:val="1"/>
        </w:numPr>
        <w:rPr>
          <w:lang w:val="uk-UA"/>
        </w:rPr>
      </w:pPr>
      <w:r w:rsidRPr="00012FF2">
        <w:rPr>
          <w:lang w:val="uk-UA"/>
        </w:rPr>
        <w:t>з’ясувати залежність</w:t>
      </w:r>
      <w:r>
        <w:rPr>
          <w:lang w:val="uk-UA"/>
        </w:rPr>
        <w:t xml:space="preserve"> загальних показників могутності КНР</w:t>
      </w:r>
      <w:r w:rsidRPr="00012FF2">
        <w:rPr>
          <w:lang w:val="uk-UA"/>
        </w:rPr>
        <w:t xml:space="preserve"> від параметрів м’якої сили</w:t>
      </w:r>
      <w:r>
        <w:rPr>
          <w:lang w:val="uk-UA"/>
        </w:rPr>
        <w:t>;</w:t>
      </w:r>
    </w:p>
    <w:p w:rsidR="00413EA0" w:rsidRPr="00012FF2" w:rsidRDefault="00413EA0" w:rsidP="00413EA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визн</w:t>
      </w:r>
      <w:r w:rsidR="00D000AD">
        <w:rPr>
          <w:lang w:val="uk-UA"/>
        </w:rPr>
        <w:t>ачити, за рахунок чого Китай</w:t>
      </w:r>
      <w:r>
        <w:rPr>
          <w:lang w:val="uk-UA"/>
        </w:rPr>
        <w:t xml:space="preserve"> може </w:t>
      </w:r>
      <w:r w:rsidR="002C4997">
        <w:rPr>
          <w:lang w:val="uk-UA"/>
        </w:rPr>
        <w:t>випередити інших світових лідерів</w:t>
      </w:r>
      <w:r>
        <w:rPr>
          <w:lang w:val="uk-UA"/>
        </w:rPr>
        <w:t>.</w:t>
      </w:r>
    </w:p>
    <w:p w:rsidR="00413EA0" w:rsidRDefault="00413EA0" w:rsidP="00413EA0">
      <w:pPr>
        <w:rPr>
          <w:lang w:val="uk-UA"/>
        </w:rPr>
      </w:pPr>
      <w:r w:rsidRPr="0043329E">
        <w:rPr>
          <w:b/>
          <w:bCs/>
          <w:lang w:val="uk-UA"/>
        </w:rPr>
        <w:t>Вхідні дані</w:t>
      </w:r>
      <w:r>
        <w:rPr>
          <w:lang w:val="uk-UA"/>
        </w:rPr>
        <w:t>.</w:t>
      </w:r>
    </w:p>
    <w:p w:rsidR="00413EA0" w:rsidRPr="00091CA9" w:rsidRDefault="00413EA0" w:rsidP="00413EA0">
      <w:pPr>
        <w:rPr>
          <w:lang w:val="uk-UA"/>
        </w:rPr>
      </w:pPr>
      <w:r>
        <w:rPr>
          <w:lang w:val="uk-UA"/>
        </w:rPr>
        <w:t xml:space="preserve">Складові «м’якої сили» та відповідні ресурси Китаю визначатимемо за доповіддю </w:t>
      </w:r>
      <w:r>
        <w:t>Soft</w:t>
      </w:r>
      <w:r w:rsidRPr="00091CA9">
        <w:rPr>
          <w:lang w:val="ru-RU"/>
        </w:rPr>
        <w:t xml:space="preserve"> </w:t>
      </w:r>
      <w:r>
        <w:t>Power</w:t>
      </w:r>
      <w:r w:rsidRPr="00091CA9">
        <w:rPr>
          <w:lang w:val="ru-RU"/>
        </w:rPr>
        <w:t xml:space="preserve"> 30 </w:t>
      </w:r>
      <w:r>
        <w:t>Report</w:t>
      </w:r>
      <w:r>
        <w:rPr>
          <w:lang w:val="ru-RU"/>
        </w:rPr>
        <w:t xml:space="preserve"> 2019</w:t>
      </w:r>
      <w:r w:rsidRPr="00091CA9">
        <w:rPr>
          <w:lang w:val="ru-RU"/>
        </w:rPr>
        <w:t xml:space="preserve">. </w:t>
      </w:r>
    </w:p>
    <w:p w:rsidR="00413EA0" w:rsidRDefault="00413EA0" w:rsidP="00413EA0">
      <w:pPr>
        <w:rPr>
          <w:lang w:val="uk-UA"/>
        </w:rPr>
      </w:pPr>
      <w:r>
        <w:rPr>
          <w:lang w:val="uk-UA"/>
        </w:rPr>
        <w:t>За цим рейтингом у 2019 р. КНР вийшла на 27 місце, проте у 2017 вона посідала 25 місце, а у 2018 – 27.</w:t>
      </w:r>
    </w:p>
    <w:p w:rsidR="00413EA0" w:rsidRDefault="00413EA0" w:rsidP="00413EA0">
      <w:pPr>
        <w:rPr>
          <w:lang w:val="uk-UA"/>
        </w:rPr>
      </w:pPr>
      <w:r>
        <w:rPr>
          <w:lang w:val="uk-UA"/>
        </w:rPr>
        <w:t xml:space="preserve">Місце в рейтингу розраховувалось на основі 7-ми критеріїв: </w:t>
      </w:r>
      <w:proofErr w:type="spellStart"/>
      <w:r>
        <w:rPr>
          <w:lang w:val="uk-UA"/>
        </w:rPr>
        <w:t>діджитал</w:t>
      </w:r>
      <w:proofErr w:type="spellEnd"/>
      <w:r>
        <w:rPr>
          <w:lang w:val="uk-UA"/>
        </w:rPr>
        <w:t xml:space="preserve">, підприємництво, освіта, культура, </w:t>
      </w:r>
      <w:proofErr w:type="spellStart"/>
      <w:r>
        <w:rPr>
          <w:lang w:val="uk-UA"/>
        </w:rPr>
        <w:t>залученість</w:t>
      </w:r>
      <w:proofErr w:type="spellEnd"/>
      <w:r>
        <w:rPr>
          <w:lang w:val="uk-UA"/>
        </w:rPr>
        <w:t xml:space="preserve"> у міжнародну активність, система врядування і соцопитування.  </w:t>
      </w:r>
    </w:p>
    <w:p w:rsidR="00413EA0" w:rsidRPr="00091CA9" w:rsidRDefault="00413EA0" w:rsidP="00413EA0">
      <w:pPr>
        <w:rPr>
          <w:lang w:val="uk-UA"/>
        </w:rPr>
      </w:pPr>
      <w:r>
        <w:rPr>
          <w:lang w:val="uk-UA"/>
        </w:rPr>
        <w:t>Нижче наведені результати за 2017-2019 роки у порівнянні.</w:t>
      </w:r>
    </w:p>
    <w:p w:rsidR="00F21C41" w:rsidRDefault="00413EA0">
      <w:r>
        <w:rPr>
          <w:noProof/>
          <w:lang w:val="uk-UA" w:eastAsia="uk-UA"/>
        </w:rPr>
        <w:drawing>
          <wp:inline distT="0" distB="0" distL="0" distR="0">
            <wp:extent cx="9070181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144" cy="27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A0" w:rsidRDefault="00400494">
      <w:r>
        <w:rPr>
          <w:noProof/>
          <w:lang w:val="uk-UA" w:eastAsia="uk-UA"/>
        </w:rPr>
        <w:lastRenderedPageBreak/>
        <w:drawing>
          <wp:inline distT="0" distB="0" distL="0" distR="0">
            <wp:extent cx="9239250" cy="323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494" w:rsidRDefault="00400494"/>
    <w:p w:rsidR="007C730B" w:rsidRPr="003D6898" w:rsidRDefault="00400494">
      <w:pPr>
        <w:rPr>
          <w:lang w:val="uk-UA"/>
        </w:rPr>
      </w:pPr>
      <w:r w:rsidRPr="003D6898">
        <w:rPr>
          <w:lang w:val="uk-UA"/>
        </w:rPr>
        <w:t>За наведеними показниками можемо побачити</w:t>
      </w:r>
      <w:r w:rsidR="003D6898" w:rsidRPr="003D6898">
        <w:rPr>
          <w:lang w:val="uk-UA"/>
        </w:rPr>
        <w:t xml:space="preserve"> сильні сторони Китаю. Так, наприклад,</w:t>
      </w:r>
      <w:r w:rsidRPr="003D6898">
        <w:rPr>
          <w:lang w:val="uk-UA"/>
        </w:rPr>
        <w:t xml:space="preserve"> </w:t>
      </w:r>
      <w:r w:rsidR="003D6898" w:rsidRPr="003D6898">
        <w:rPr>
          <w:lang w:val="uk-UA"/>
        </w:rPr>
        <w:t xml:space="preserve">2019 року </w:t>
      </w:r>
      <w:r w:rsidR="007C730B" w:rsidRPr="003D6898">
        <w:rPr>
          <w:lang w:val="uk-UA"/>
        </w:rPr>
        <w:t xml:space="preserve">Китай піднявся на одну позицію та посів 8-е місце у </w:t>
      </w:r>
      <w:proofErr w:type="spellStart"/>
      <w:r w:rsidR="007C730B" w:rsidRPr="003D6898">
        <w:rPr>
          <w:lang w:val="uk-UA"/>
        </w:rPr>
        <w:t>суб</w:t>
      </w:r>
      <w:proofErr w:type="spellEnd"/>
      <w:r w:rsidR="007C730B" w:rsidRPr="003D6898">
        <w:rPr>
          <w:lang w:val="uk-UA"/>
        </w:rPr>
        <w:t>-індексі "Культура". Це не дивно, враховуючи багату культуру Китаю: тут знаходиться найбільша кількість об'єктів Всесвітньої спадщини ЮНЕСКО у світі</w:t>
      </w:r>
      <w:r w:rsidR="003D6898" w:rsidRPr="003D6898">
        <w:rPr>
          <w:lang w:val="uk-UA"/>
        </w:rPr>
        <w:t>, а також ця країна має</w:t>
      </w:r>
      <w:r w:rsidR="007C730B" w:rsidRPr="003D6898">
        <w:rPr>
          <w:lang w:val="uk-UA"/>
        </w:rPr>
        <w:t xml:space="preserve"> друге місце за кількістю олімпійських медалей, отриманих на літніх Олімпійських іграх 2016 року в Ріо-де-Жанейро та зимових Олімпійських іграх 20</w:t>
      </w:r>
      <w:r w:rsidR="003D6898" w:rsidRPr="003D6898">
        <w:rPr>
          <w:lang w:val="uk-UA"/>
        </w:rPr>
        <w:t xml:space="preserve">18 року у </w:t>
      </w:r>
      <w:proofErr w:type="spellStart"/>
      <w:r w:rsidR="003D6898" w:rsidRPr="003D6898">
        <w:rPr>
          <w:lang w:val="uk-UA"/>
        </w:rPr>
        <w:t>Пхенчхані</w:t>
      </w:r>
      <w:proofErr w:type="spellEnd"/>
      <w:r w:rsidR="003D6898" w:rsidRPr="003D6898">
        <w:rPr>
          <w:lang w:val="uk-UA"/>
        </w:rPr>
        <w:t>.</w:t>
      </w:r>
      <w:r w:rsidR="007C730B" w:rsidRPr="003D6898">
        <w:rPr>
          <w:lang w:val="uk-UA"/>
        </w:rPr>
        <w:t xml:space="preserve"> Китай також продовжує демонструвати високі показники в галузі мистецтва та туризму. Крім культури, Китай також показав відносно добрі результати у </w:t>
      </w:r>
      <w:proofErr w:type="spellStart"/>
      <w:r w:rsidR="007C730B" w:rsidRPr="003D6898">
        <w:rPr>
          <w:lang w:val="uk-UA"/>
        </w:rPr>
        <w:t>суб</w:t>
      </w:r>
      <w:proofErr w:type="spellEnd"/>
      <w:r w:rsidR="007C730B" w:rsidRPr="003D6898">
        <w:rPr>
          <w:lang w:val="uk-UA"/>
        </w:rPr>
        <w:t>-індексах "Освіта"</w:t>
      </w:r>
      <w:r w:rsidR="003D6898" w:rsidRPr="003D6898">
        <w:rPr>
          <w:lang w:val="uk-UA"/>
        </w:rPr>
        <w:t xml:space="preserve"> та "Підприємництво", хоча у 2019 р. його місце</w:t>
      </w:r>
      <w:r w:rsidR="007C730B" w:rsidRPr="003D6898">
        <w:rPr>
          <w:lang w:val="uk-UA"/>
        </w:rPr>
        <w:t xml:space="preserve"> у рейтингу "Освіта" знизився на чотири позиції.</w:t>
      </w:r>
    </w:p>
    <w:p w:rsidR="003D6898" w:rsidRDefault="003D6898">
      <w:pPr>
        <w:rPr>
          <w:lang w:val="uk-UA"/>
        </w:rPr>
      </w:pPr>
      <w:r w:rsidRPr="003D6898">
        <w:rPr>
          <w:lang w:val="uk-UA"/>
        </w:rPr>
        <w:t>Також можемо виявити слабкі сторони. Не дивно, що слабкі</w:t>
      </w:r>
      <w:r w:rsidR="00F02CAE">
        <w:rPr>
          <w:lang w:val="uk-UA"/>
        </w:rPr>
        <w:t xml:space="preserve"> місця Китаю у </w:t>
      </w:r>
      <w:proofErr w:type="spellStart"/>
      <w:r w:rsidR="00F02CAE">
        <w:rPr>
          <w:lang w:val="uk-UA"/>
        </w:rPr>
        <w:t>суб</w:t>
      </w:r>
      <w:proofErr w:type="spellEnd"/>
      <w:r w:rsidR="00F02CAE">
        <w:rPr>
          <w:lang w:val="uk-UA"/>
        </w:rPr>
        <w:t>-індексі "Врядування</w:t>
      </w:r>
      <w:r w:rsidRPr="003D6898">
        <w:rPr>
          <w:lang w:val="uk-UA"/>
        </w:rPr>
        <w:t xml:space="preserve">" обумовлені низькими показниками у сфері індивідуальних свобод та вільнодумства. Китай також зазнає труднощів у </w:t>
      </w:r>
      <w:proofErr w:type="spellStart"/>
      <w:r w:rsidRPr="003D6898">
        <w:rPr>
          <w:lang w:val="uk-UA"/>
        </w:rPr>
        <w:t>суб</w:t>
      </w:r>
      <w:proofErr w:type="spellEnd"/>
      <w:r w:rsidRPr="003D6898">
        <w:rPr>
          <w:lang w:val="uk-UA"/>
        </w:rPr>
        <w:t xml:space="preserve">-індексі "Цифрові технології" через відсутність офіційного онлайн-представництва на </w:t>
      </w:r>
      <w:proofErr w:type="spellStart"/>
      <w:r w:rsidRPr="003D6898">
        <w:rPr>
          <w:lang w:val="uk-UA"/>
        </w:rPr>
        <w:t>Facebook</w:t>
      </w:r>
      <w:proofErr w:type="spellEnd"/>
      <w:r w:rsidRPr="003D6898">
        <w:rPr>
          <w:lang w:val="uk-UA"/>
        </w:rPr>
        <w:t>, а також загальної низької кількості інтернет-користувачів та безпечних інтернет-серверів. Ці області підкреслюють дистанцію між привабливістю "м'якої сили" у вигляді відкритості, прозорості та свободи та закритою моделлю державного управління в Китаї.</w:t>
      </w:r>
    </w:p>
    <w:p w:rsidR="003D6898" w:rsidRDefault="00F02CAE">
      <w:pPr>
        <w:rPr>
          <w:lang w:val="uk-UA"/>
        </w:rPr>
      </w:pPr>
      <w:r>
        <w:rPr>
          <w:lang w:val="uk-UA"/>
        </w:rPr>
        <w:t xml:space="preserve">Отже, для покращення </w:t>
      </w:r>
      <w:proofErr w:type="spellStart"/>
      <w:r>
        <w:rPr>
          <w:lang w:val="uk-UA"/>
        </w:rPr>
        <w:t>оберемо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підіндекси</w:t>
      </w:r>
      <w:proofErr w:type="spellEnd"/>
      <w:r>
        <w:rPr>
          <w:lang w:val="uk-UA"/>
        </w:rPr>
        <w:t xml:space="preserve"> врядування та </w:t>
      </w:r>
      <w:proofErr w:type="spellStart"/>
      <w:r>
        <w:rPr>
          <w:lang w:val="uk-UA"/>
        </w:rPr>
        <w:t>діджитал</w:t>
      </w:r>
      <w:proofErr w:type="spellEnd"/>
      <w:r>
        <w:rPr>
          <w:lang w:val="uk-UA"/>
        </w:rPr>
        <w:t>, тому що вони найбільше погіршують позиції Китаю.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36"/>
        <w:gridCol w:w="1939"/>
        <w:gridCol w:w="5294"/>
        <w:gridCol w:w="5291"/>
      </w:tblGrid>
      <w:tr w:rsidR="00F02CAE" w:rsidRPr="00550B12" w:rsidTr="001E50D2">
        <w:tc>
          <w:tcPr>
            <w:tcW w:w="699" w:type="pct"/>
          </w:tcPr>
          <w:p w:rsidR="00F02CAE" w:rsidRPr="003A0A04" w:rsidRDefault="00F02CAE" w:rsidP="001E5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Показник</w:t>
            </w:r>
          </w:p>
        </w:tc>
        <w:tc>
          <w:tcPr>
            <w:tcW w:w="666" w:type="pct"/>
          </w:tcPr>
          <w:p w:rsidR="00F02CAE" w:rsidRPr="003A0A04" w:rsidRDefault="00F02CAE" w:rsidP="001E5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  <w:tc>
          <w:tcPr>
            <w:tcW w:w="1818" w:type="pct"/>
          </w:tcPr>
          <w:p w:rsidR="00F02CAE" w:rsidRPr="008D7D9D" w:rsidRDefault="00F02CAE" w:rsidP="001E50D2">
            <w:pPr>
              <w:jc w:val="center"/>
            </w:pPr>
            <w:r>
              <w:rPr>
                <w:lang w:val="uk-UA"/>
              </w:rPr>
              <w:t xml:space="preserve">Параметри </w:t>
            </w:r>
            <w:r>
              <w:t>Soft Power Report</w:t>
            </w:r>
          </w:p>
        </w:tc>
        <w:tc>
          <w:tcPr>
            <w:tcW w:w="1817" w:type="pct"/>
          </w:tcPr>
          <w:p w:rsidR="00F02CAE" w:rsidRPr="00D4294A" w:rsidRDefault="00F02CAE" w:rsidP="001E50D2">
            <w:pPr>
              <w:ind w:left="360"/>
              <w:jc w:val="center"/>
            </w:pPr>
            <w:r>
              <w:rPr>
                <w:lang w:val="uk-UA"/>
              </w:rPr>
              <w:t xml:space="preserve">Параметри </w:t>
            </w:r>
            <w:r>
              <w:t>IFS</w:t>
            </w:r>
          </w:p>
        </w:tc>
      </w:tr>
      <w:tr w:rsidR="00F02CAE" w:rsidRPr="00063078" w:rsidTr="001E50D2">
        <w:trPr>
          <w:trHeight w:val="429"/>
        </w:trPr>
        <w:tc>
          <w:tcPr>
            <w:tcW w:w="699" w:type="pct"/>
            <w:vMerge w:val="restart"/>
          </w:tcPr>
          <w:p w:rsidR="00F02CAE" w:rsidRPr="003A0A04" w:rsidRDefault="00F02CAE" w:rsidP="001E50D2">
            <w:pPr>
              <w:rPr>
                <w:lang w:val="uk-UA"/>
              </w:rPr>
            </w:pPr>
            <w:r w:rsidRPr="003C4C6B">
              <w:rPr>
                <w:highlight w:val="yellow"/>
              </w:rPr>
              <w:t>DIGITAL</w:t>
            </w:r>
            <w:r w:rsidRPr="003C4C6B">
              <w:rPr>
                <w:highlight w:val="yellow"/>
                <w:lang w:val="uk-UA"/>
              </w:rPr>
              <w:t xml:space="preserve"> (цифрові технології)</w:t>
            </w:r>
          </w:p>
        </w:tc>
        <w:tc>
          <w:tcPr>
            <w:tcW w:w="666" w:type="pct"/>
            <w:vMerge w:val="restart"/>
          </w:tcPr>
          <w:p w:rsidR="00F02CAE" w:rsidRPr="003A0A04" w:rsidRDefault="00F02CAE" w:rsidP="001E50D2">
            <w:pPr>
              <w:rPr>
                <w:lang w:val="uk-UA"/>
              </w:rPr>
            </w:pPr>
            <w:r>
              <w:rPr>
                <w:lang w:val="uk-UA"/>
              </w:rPr>
              <w:t xml:space="preserve">Рівень розвитку новітніх технологій, інтеграція держави у світову цифрову економіку, використання цифрової дипломатії. </w:t>
            </w: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 xml:space="preserve">Кількість закордонних </w:t>
            </w:r>
            <w:proofErr w:type="spellStart"/>
            <w:r w:rsidRPr="008D7D9D">
              <w:rPr>
                <w:lang w:val="uk-UA"/>
              </w:rPr>
              <w:t>Фейсбук-підписників</w:t>
            </w:r>
            <w:proofErr w:type="spellEnd"/>
            <w:r w:rsidRPr="008D7D9D">
              <w:rPr>
                <w:lang w:val="uk-UA"/>
              </w:rPr>
              <w:t xml:space="preserve"> глави держави</w:t>
            </w:r>
          </w:p>
        </w:tc>
        <w:tc>
          <w:tcPr>
            <w:tcW w:w="1817" w:type="pct"/>
            <w:vMerge w:val="restart"/>
          </w:tcPr>
          <w:p w:rsidR="00F02CAE" w:rsidRPr="00385971" w:rsidRDefault="00F02CAE" w:rsidP="001E50D2">
            <w:proofErr w:type="spellStart"/>
            <w:r>
              <w:t>ictintnetm</w:t>
            </w:r>
            <w:proofErr w:type="spellEnd"/>
            <w:r>
              <w:t xml:space="preserve"> - percentage of people using</w:t>
            </w:r>
          </w:p>
          <w:p w:rsidR="00F02CAE" w:rsidRPr="00385971" w:rsidRDefault="00F02CAE" w:rsidP="001E50D2">
            <w:proofErr w:type="spellStart"/>
            <w:r>
              <w:t>ictmobilsaturation</w:t>
            </w:r>
            <w:proofErr w:type="spellEnd"/>
            <w:r>
              <w:t xml:space="preserve"> – maximum number of mobile phone or mobile broadband per 100 people</w:t>
            </w:r>
          </w:p>
          <w:p w:rsidR="00F02CAE" w:rsidRPr="00385971" w:rsidRDefault="00F02CAE" w:rsidP="001E50D2">
            <w:proofErr w:type="spellStart"/>
            <w:r>
              <w:t>ictintnetbwpum</w:t>
            </w:r>
            <w:proofErr w:type="spellEnd"/>
            <w:r>
              <w:t xml:space="preserve"> - </w:t>
            </w:r>
            <w:r w:rsidRPr="00631EE5">
              <w:t>ICT, Internet, Bandwidth per user</w:t>
            </w:r>
          </w:p>
          <w:p w:rsidR="00F02CAE" w:rsidRPr="00385971" w:rsidRDefault="00F02CAE" w:rsidP="001E50D2">
            <w:proofErr w:type="spellStart"/>
            <w:r>
              <w:t>ictbroadtrgtval</w:t>
            </w:r>
            <w:proofErr w:type="spellEnd"/>
            <w:r>
              <w:t xml:space="preserve"> - </w:t>
            </w:r>
            <w:r w:rsidRPr="006C2314">
              <w:t>Parameter for the number of years taken to achieve universal access to fixed broadband</w:t>
            </w:r>
          </w:p>
          <w:p w:rsidR="00F02CAE" w:rsidRDefault="00F02CAE" w:rsidP="001E50D2">
            <w:r>
              <w:t>Technology Power IFS index</w:t>
            </w:r>
          </w:p>
          <w:p w:rsidR="00F02CAE" w:rsidRDefault="00F02CAE" w:rsidP="001E50D2">
            <w:r>
              <w:t>ICT Cyber Security Index: 2017 – 0.415, 2035 – 0.597</w:t>
            </w:r>
          </w:p>
          <w:p w:rsidR="00F02CAE" w:rsidRDefault="00F02CAE" w:rsidP="001E50D2">
            <w:r w:rsidRPr="00A228E9">
              <w:t>ICT Development Index - ITU index</w:t>
            </w:r>
            <w:r>
              <w:t xml:space="preserve">: 2017 - 6.106, 2035 - </w:t>
            </w:r>
            <w:r w:rsidRPr="00280CA4">
              <w:t>8.815</w:t>
            </w:r>
          </w:p>
          <w:p w:rsidR="00F02CAE" w:rsidRDefault="00F02CAE" w:rsidP="001E50D2">
            <w:r>
              <w:t>Infrastructure Index, ICT: 2017 – 0.572, 2035 – 0.732</w:t>
            </w:r>
          </w:p>
          <w:p w:rsidR="00F02CAE" w:rsidRDefault="00F02CAE" w:rsidP="001E50D2">
            <w:r>
              <w:t xml:space="preserve">Knowledge Society Index: 2017 - 40.70, 2035 - </w:t>
            </w:r>
            <w:r w:rsidRPr="0071415C">
              <w:t>45.63</w:t>
            </w:r>
          </w:p>
          <w:p w:rsidR="00F02CAE" w:rsidRDefault="00F02CAE" w:rsidP="001E50D2">
            <w:r>
              <w:t xml:space="preserve">ICTINDEX + </w:t>
            </w:r>
            <w:proofErr w:type="spellStart"/>
            <w:r>
              <w:t>ictindexm</w:t>
            </w:r>
            <w:proofErr w:type="spellEnd"/>
            <w:r>
              <w:t xml:space="preserve"> (ICT pervasiveness index)</w:t>
            </w:r>
          </w:p>
          <w:p w:rsidR="00F02CAE" w:rsidRDefault="00F02CAE" w:rsidP="001E50D2">
            <w:r>
              <w:t xml:space="preserve">ICTINTNETBWPU + </w:t>
            </w:r>
            <w:proofErr w:type="spellStart"/>
            <w:r>
              <w:t>ictintnetbwpum</w:t>
            </w:r>
            <w:proofErr w:type="spellEnd"/>
            <w:r>
              <w:t xml:space="preserve"> (bandwidth per user)</w:t>
            </w:r>
          </w:p>
          <w:p w:rsidR="00F02CAE" w:rsidRDefault="00F02CAE" w:rsidP="001E50D2">
            <w:r>
              <w:t xml:space="preserve">ICTBROAD + </w:t>
            </w:r>
            <w:proofErr w:type="spellStart"/>
            <w:r>
              <w:t>Ictbroadm</w:t>
            </w:r>
            <w:proofErr w:type="spellEnd"/>
            <w:r>
              <w:t xml:space="preserve"> (ICT Broadband multiplier) (percentage of population with access to fixed broadband technology)</w:t>
            </w:r>
          </w:p>
          <w:p w:rsidR="00F02CAE" w:rsidRDefault="00F02CAE" w:rsidP="001E50D2">
            <w:r>
              <w:t>ICTMOBIL (mobile phones per 100 people)</w:t>
            </w:r>
          </w:p>
          <w:p w:rsidR="00F02CAE" w:rsidRDefault="00F02CAE" w:rsidP="001E50D2">
            <w:r>
              <w:t xml:space="preserve">ICTBROADMOBIL + </w:t>
            </w:r>
            <w:proofErr w:type="spellStart"/>
            <w:r>
              <w:t>ictbroadmobilm</w:t>
            </w:r>
            <w:proofErr w:type="spellEnd"/>
          </w:p>
          <w:p w:rsidR="00F02CAE" w:rsidRPr="00063078" w:rsidRDefault="00F02CAE" w:rsidP="001E50D2">
            <w:r>
              <w:t xml:space="preserve">ICTSPEND + </w:t>
            </w:r>
            <w:proofErr w:type="spellStart"/>
            <w:r>
              <w:t>ictspendm</w:t>
            </w:r>
            <w:proofErr w:type="spellEnd"/>
            <w:r>
              <w:t xml:space="preserve"> (ICT spending multiplier, percent of GDP)</w:t>
            </w:r>
          </w:p>
        </w:tc>
      </w:tr>
      <w:tr w:rsidR="00F02CAE" w:rsidRPr="00851E19" w:rsidTr="001E50D2">
        <w:trPr>
          <w:trHeight w:val="429"/>
        </w:trPr>
        <w:tc>
          <w:tcPr>
            <w:tcW w:w="699" w:type="pct"/>
            <w:vMerge/>
          </w:tcPr>
          <w:p w:rsidR="00F02CAE" w:rsidRPr="00063078" w:rsidRDefault="00F02CAE" w:rsidP="001E50D2">
            <w:pPr>
              <w:rPr>
                <w:highlight w:val="yellow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 xml:space="preserve">Рівень взаємодії із закордонною аудиторією </w:t>
            </w:r>
            <w:proofErr w:type="spellStart"/>
            <w:r w:rsidRPr="008D7D9D">
              <w:rPr>
                <w:lang w:val="uk-UA"/>
              </w:rPr>
              <w:t>акаунту</w:t>
            </w:r>
            <w:proofErr w:type="spellEnd"/>
            <w:r w:rsidRPr="008D7D9D">
              <w:rPr>
                <w:lang w:val="uk-UA"/>
              </w:rPr>
              <w:t xml:space="preserve"> глави держави</w:t>
            </w:r>
          </w:p>
        </w:tc>
        <w:tc>
          <w:tcPr>
            <w:tcW w:w="1817" w:type="pct"/>
            <w:vMerge/>
          </w:tcPr>
          <w:p w:rsidR="00F02CAE" w:rsidRPr="00385971" w:rsidRDefault="00F02CAE" w:rsidP="001E50D2">
            <w:pPr>
              <w:rPr>
                <w:lang w:val="ru-RU"/>
              </w:rPr>
            </w:pPr>
          </w:p>
        </w:tc>
      </w:tr>
      <w:tr w:rsidR="00F02CAE" w:rsidRPr="00851E19" w:rsidTr="001E50D2">
        <w:trPr>
          <w:trHeight w:val="429"/>
        </w:trPr>
        <w:tc>
          <w:tcPr>
            <w:tcW w:w="699" w:type="pct"/>
            <w:vMerge/>
          </w:tcPr>
          <w:p w:rsidR="00F02CAE" w:rsidRPr="00385971" w:rsidRDefault="00F02CAE" w:rsidP="001E50D2">
            <w:pPr>
              <w:rPr>
                <w:highlight w:val="yellow"/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 xml:space="preserve">Кількість закордонних </w:t>
            </w:r>
            <w:proofErr w:type="spellStart"/>
            <w:r w:rsidRPr="008D7D9D">
              <w:rPr>
                <w:lang w:val="uk-UA"/>
              </w:rPr>
              <w:t>Фейсбук-підписників</w:t>
            </w:r>
            <w:proofErr w:type="spellEnd"/>
            <w:r w:rsidRPr="008D7D9D">
              <w:rPr>
                <w:lang w:val="uk-UA"/>
              </w:rPr>
              <w:t xml:space="preserve"> на сторінці МЗС</w:t>
            </w:r>
          </w:p>
        </w:tc>
        <w:tc>
          <w:tcPr>
            <w:tcW w:w="1817" w:type="pct"/>
            <w:vMerge/>
          </w:tcPr>
          <w:p w:rsidR="00F02CAE" w:rsidRPr="00385971" w:rsidRDefault="00F02CAE" w:rsidP="001E50D2">
            <w:pPr>
              <w:rPr>
                <w:lang w:val="ru-RU"/>
              </w:rPr>
            </w:pPr>
          </w:p>
        </w:tc>
      </w:tr>
      <w:tr w:rsidR="00F02CAE" w:rsidRPr="00851E19" w:rsidTr="001E50D2">
        <w:trPr>
          <w:trHeight w:val="429"/>
        </w:trPr>
        <w:tc>
          <w:tcPr>
            <w:tcW w:w="699" w:type="pct"/>
            <w:vMerge/>
          </w:tcPr>
          <w:p w:rsidR="00F02CAE" w:rsidRPr="00385971" w:rsidRDefault="00F02CAE" w:rsidP="001E50D2">
            <w:pPr>
              <w:rPr>
                <w:highlight w:val="yellow"/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>Кількість інтернет-користувачів на 100 жителів</w:t>
            </w:r>
          </w:p>
        </w:tc>
        <w:tc>
          <w:tcPr>
            <w:tcW w:w="1817" w:type="pct"/>
            <w:vMerge/>
          </w:tcPr>
          <w:p w:rsidR="00F02CAE" w:rsidRPr="0007225B" w:rsidRDefault="00F02CAE" w:rsidP="001E50D2">
            <w:pPr>
              <w:rPr>
                <w:lang w:val="ru-RU"/>
              </w:rPr>
            </w:pPr>
          </w:p>
        </w:tc>
      </w:tr>
      <w:tr w:rsidR="00F02CAE" w:rsidRPr="00851E19" w:rsidTr="001E50D2">
        <w:trPr>
          <w:trHeight w:val="429"/>
        </w:trPr>
        <w:tc>
          <w:tcPr>
            <w:tcW w:w="699" w:type="pct"/>
            <w:vMerge/>
          </w:tcPr>
          <w:p w:rsidR="00F02CAE" w:rsidRPr="0007225B" w:rsidRDefault="00F02CAE" w:rsidP="001E50D2">
            <w:pPr>
              <w:rPr>
                <w:highlight w:val="yellow"/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>Кількість безпечних інтернет-серверів на 1 млн жителів</w:t>
            </w:r>
          </w:p>
        </w:tc>
        <w:tc>
          <w:tcPr>
            <w:tcW w:w="1817" w:type="pct"/>
            <w:vMerge/>
          </w:tcPr>
          <w:p w:rsidR="00F02CAE" w:rsidRPr="00385971" w:rsidRDefault="00F02CAE" w:rsidP="001E50D2">
            <w:pPr>
              <w:rPr>
                <w:lang w:val="ru-RU"/>
              </w:rPr>
            </w:pPr>
          </w:p>
        </w:tc>
      </w:tr>
      <w:tr w:rsidR="00F02CAE" w:rsidRPr="00851E19" w:rsidTr="001E50D2">
        <w:trPr>
          <w:trHeight w:val="429"/>
        </w:trPr>
        <w:tc>
          <w:tcPr>
            <w:tcW w:w="699" w:type="pct"/>
            <w:vMerge/>
          </w:tcPr>
          <w:p w:rsidR="00F02CAE" w:rsidRPr="00385971" w:rsidRDefault="00F02CAE" w:rsidP="001E50D2">
            <w:pPr>
              <w:rPr>
                <w:highlight w:val="yellow"/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>Кількість мобільних телефонів на 100 жителів</w:t>
            </w:r>
          </w:p>
        </w:tc>
        <w:tc>
          <w:tcPr>
            <w:tcW w:w="1817" w:type="pct"/>
            <w:vMerge/>
          </w:tcPr>
          <w:p w:rsidR="00F02CAE" w:rsidRPr="0007225B" w:rsidRDefault="00F02CAE" w:rsidP="001E50D2">
            <w:pPr>
              <w:rPr>
                <w:lang w:val="ru-RU"/>
              </w:rPr>
            </w:pPr>
          </w:p>
        </w:tc>
      </w:tr>
      <w:tr w:rsidR="00F02CAE" w:rsidRPr="00851E19" w:rsidTr="001E50D2">
        <w:trPr>
          <w:trHeight w:val="429"/>
        </w:trPr>
        <w:tc>
          <w:tcPr>
            <w:tcW w:w="699" w:type="pct"/>
            <w:vMerge/>
          </w:tcPr>
          <w:p w:rsidR="00F02CAE" w:rsidRPr="0007225B" w:rsidRDefault="00F02CAE" w:rsidP="001E50D2">
            <w:pPr>
              <w:rPr>
                <w:highlight w:val="yellow"/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 xml:space="preserve">Пропускна здатність Інтернету (в тис </w:t>
            </w:r>
            <w:proofErr w:type="spellStart"/>
            <w:r w:rsidRPr="008D7D9D">
              <w:rPr>
                <w:lang w:val="uk-UA"/>
              </w:rPr>
              <w:t>Мбт</w:t>
            </w:r>
            <w:proofErr w:type="spellEnd"/>
            <w:r w:rsidRPr="008D7D9D">
              <w:rPr>
                <w:lang w:val="uk-UA"/>
              </w:rPr>
              <w:t>/с)</w:t>
            </w:r>
          </w:p>
        </w:tc>
        <w:tc>
          <w:tcPr>
            <w:tcW w:w="1817" w:type="pct"/>
            <w:vMerge/>
          </w:tcPr>
          <w:p w:rsidR="00F02CAE" w:rsidRPr="0007225B" w:rsidRDefault="00F02CAE" w:rsidP="001E50D2">
            <w:pPr>
              <w:rPr>
                <w:lang w:val="ru-RU"/>
              </w:rPr>
            </w:pPr>
          </w:p>
        </w:tc>
      </w:tr>
      <w:tr w:rsidR="00F02CAE" w:rsidRPr="009226AE" w:rsidTr="001E50D2">
        <w:trPr>
          <w:trHeight w:val="429"/>
        </w:trPr>
        <w:tc>
          <w:tcPr>
            <w:tcW w:w="699" w:type="pct"/>
            <w:vMerge/>
          </w:tcPr>
          <w:p w:rsidR="00F02CAE" w:rsidRPr="0007225B" w:rsidRDefault="00F02CAE" w:rsidP="001E50D2">
            <w:pPr>
              <w:rPr>
                <w:highlight w:val="yellow"/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>Індекс онлайн-урядових послуг (</w:t>
            </w:r>
            <w:proofErr w:type="spellStart"/>
            <w:r w:rsidRPr="008D7D9D">
              <w:rPr>
                <w:lang w:val="uk-UA"/>
              </w:rPr>
              <w:t>Government</w:t>
            </w:r>
            <w:proofErr w:type="spellEnd"/>
            <w:r w:rsidRPr="008D7D9D">
              <w:rPr>
                <w:lang w:val="uk-UA"/>
              </w:rPr>
              <w:t xml:space="preserve"> </w:t>
            </w:r>
            <w:proofErr w:type="spellStart"/>
            <w:r w:rsidRPr="008D7D9D">
              <w:rPr>
                <w:lang w:val="uk-UA"/>
              </w:rPr>
              <w:t>Online</w:t>
            </w:r>
            <w:proofErr w:type="spellEnd"/>
            <w:r w:rsidRPr="008D7D9D">
              <w:rPr>
                <w:lang w:val="uk-UA"/>
              </w:rPr>
              <w:t xml:space="preserve"> </w:t>
            </w:r>
            <w:proofErr w:type="spellStart"/>
            <w:r w:rsidRPr="008D7D9D">
              <w:rPr>
                <w:lang w:val="uk-UA"/>
              </w:rPr>
              <w:t>Services</w:t>
            </w:r>
            <w:proofErr w:type="spellEnd"/>
            <w:r w:rsidRPr="008D7D9D">
              <w:rPr>
                <w:lang w:val="uk-UA"/>
              </w:rPr>
              <w:t xml:space="preserve"> </w:t>
            </w:r>
            <w:proofErr w:type="spellStart"/>
            <w:r w:rsidRPr="008D7D9D">
              <w:rPr>
                <w:lang w:val="uk-UA"/>
              </w:rPr>
              <w:t>Index</w:t>
            </w:r>
            <w:proofErr w:type="spellEnd"/>
            <w:r w:rsidRPr="008D7D9D">
              <w:rPr>
                <w:lang w:val="uk-UA"/>
              </w:rPr>
              <w:t>)</w:t>
            </w:r>
          </w:p>
        </w:tc>
        <w:tc>
          <w:tcPr>
            <w:tcW w:w="1817" w:type="pct"/>
            <w:vMerge/>
          </w:tcPr>
          <w:p w:rsidR="00F02CAE" w:rsidRDefault="00F02CAE" w:rsidP="001E50D2"/>
        </w:tc>
      </w:tr>
      <w:tr w:rsidR="00F02CAE" w:rsidRPr="009226AE" w:rsidTr="001E50D2">
        <w:trPr>
          <w:trHeight w:val="429"/>
        </w:trPr>
        <w:tc>
          <w:tcPr>
            <w:tcW w:w="699" w:type="pct"/>
            <w:vMerge/>
          </w:tcPr>
          <w:p w:rsidR="00F02CAE" w:rsidRPr="003C4C6B" w:rsidRDefault="00F02CAE" w:rsidP="001E50D2">
            <w:pPr>
              <w:rPr>
                <w:highlight w:val="yellow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t>E</w:t>
            </w:r>
            <w:r w:rsidRPr="008D7D9D">
              <w:rPr>
                <w:lang w:val="uk-UA"/>
              </w:rPr>
              <w:t>-</w:t>
            </w:r>
            <w:r w:rsidRPr="008D7D9D">
              <w:t>participation</w:t>
            </w:r>
            <w:r w:rsidRPr="008D7D9D">
              <w:rPr>
                <w:lang w:val="uk-UA"/>
              </w:rPr>
              <w:t xml:space="preserve"> </w:t>
            </w:r>
            <w:r w:rsidRPr="008D7D9D">
              <w:t>Index</w:t>
            </w:r>
          </w:p>
        </w:tc>
        <w:tc>
          <w:tcPr>
            <w:tcW w:w="1817" w:type="pct"/>
            <w:vMerge/>
          </w:tcPr>
          <w:p w:rsidR="00F02CAE" w:rsidRDefault="00F02CAE" w:rsidP="001E50D2"/>
        </w:tc>
      </w:tr>
      <w:tr w:rsidR="00F02CAE" w:rsidRPr="00851E19" w:rsidTr="00AF3BBE">
        <w:trPr>
          <w:trHeight w:val="868"/>
        </w:trPr>
        <w:tc>
          <w:tcPr>
            <w:tcW w:w="699" w:type="pct"/>
            <w:vMerge/>
            <w:tcBorders>
              <w:bottom w:val="double" w:sz="4" w:space="0" w:color="auto"/>
            </w:tcBorders>
          </w:tcPr>
          <w:p w:rsidR="00F02CAE" w:rsidRPr="003C4C6B" w:rsidRDefault="00F02CAE" w:rsidP="001E50D2">
            <w:pPr>
              <w:rPr>
                <w:highlight w:val="yellow"/>
              </w:rPr>
            </w:pPr>
          </w:p>
        </w:tc>
        <w:tc>
          <w:tcPr>
            <w:tcW w:w="666" w:type="pct"/>
            <w:vMerge/>
            <w:tcBorders>
              <w:bottom w:val="double" w:sz="4" w:space="0" w:color="auto"/>
            </w:tcBorders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  <w:tcBorders>
              <w:bottom w:val="double" w:sz="4" w:space="0" w:color="auto"/>
            </w:tcBorders>
          </w:tcPr>
          <w:p w:rsidR="00F02CAE" w:rsidRPr="008D7D9D" w:rsidRDefault="00F02CAE" w:rsidP="001E50D2">
            <w:pPr>
              <w:ind w:left="104"/>
              <w:rPr>
                <w:lang w:val="uk-UA"/>
              </w:rPr>
            </w:pPr>
            <w:r w:rsidRPr="008D7D9D">
              <w:rPr>
                <w:lang w:val="uk-UA"/>
              </w:rPr>
              <w:t>Фіксований широкосмуговий зв’язок на 1000 жителів</w:t>
            </w:r>
          </w:p>
        </w:tc>
        <w:tc>
          <w:tcPr>
            <w:tcW w:w="1817" w:type="pct"/>
            <w:vMerge/>
            <w:tcBorders>
              <w:bottom w:val="double" w:sz="4" w:space="0" w:color="auto"/>
            </w:tcBorders>
          </w:tcPr>
          <w:p w:rsidR="00F02CAE" w:rsidRPr="0007225B" w:rsidRDefault="00F02CAE" w:rsidP="001E50D2">
            <w:pPr>
              <w:rPr>
                <w:lang w:val="ru-RU"/>
              </w:rPr>
            </w:pPr>
          </w:p>
        </w:tc>
      </w:tr>
      <w:tr w:rsidR="00F02CAE" w:rsidRPr="0007225B" w:rsidTr="001E50D2">
        <w:trPr>
          <w:trHeight w:val="304"/>
        </w:trPr>
        <w:tc>
          <w:tcPr>
            <w:tcW w:w="699" w:type="pct"/>
            <w:vMerge w:val="restart"/>
          </w:tcPr>
          <w:p w:rsidR="00F02CAE" w:rsidRPr="00482CCA" w:rsidRDefault="00F02CAE" w:rsidP="001E50D2">
            <w:pPr>
              <w:rPr>
                <w:highlight w:val="red"/>
              </w:rPr>
            </w:pPr>
            <w:r w:rsidRPr="00482CCA">
              <w:rPr>
                <w:highlight w:val="red"/>
              </w:rPr>
              <w:t>GOVERNMENT</w:t>
            </w:r>
          </w:p>
          <w:p w:rsidR="00F02CAE" w:rsidRPr="00FB799C" w:rsidRDefault="00F02CAE" w:rsidP="001E50D2">
            <w:pPr>
              <w:rPr>
                <w:lang w:val="uk-UA"/>
              </w:rPr>
            </w:pPr>
            <w:r w:rsidRPr="00482CCA">
              <w:rPr>
                <w:highlight w:val="red"/>
                <w:lang w:val="uk-UA"/>
              </w:rPr>
              <w:t>(модель державного управління)</w:t>
            </w:r>
          </w:p>
          <w:p w:rsidR="00F02CAE" w:rsidRDefault="00F02CAE" w:rsidP="001E50D2">
            <w:r>
              <w:t xml:space="preserve"> </w:t>
            </w:r>
          </w:p>
          <w:p w:rsidR="00F02CAE" w:rsidRPr="00482CCA" w:rsidRDefault="00F02CAE" w:rsidP="001E50D2"/>
        </w:tc>
        <w:tc>
          <w:tcPr>
            <w:tcW w:w="666" w:type="pct"/>
            <w:vMerge w:val="restart"/>
          </w:tcPr>
          <w:p w:rsidR="00F02CAE" w:rsidRPr="003A0A04" w:rsidRDefault="00F02CAE" w:rsidP="001E50D2">
            <w:pPr>
              <w:rPr>
                <w:lang w:val="uk-UA"/>
              </w:rPr>
            </w:pPr>
            <w:r>
              <w:rPr>
                <w:lang w:val="uk-UA"/>
              </w:rPr>
              <w:t xml:space="preserve">Політичні цінності, державні інституції і наслідки публічної політики. Наскільки приваблива модель </w:t>
            </w:r>
            <w:r>
              <w:rPr>
                <w:lang w:val="uk-UA"/>
              </w:rPr>
              <w:lastRenderedPageBreak/>
              <w:t xml:space="preserve">урядування і наскільки вона сприяє добробуту громадян. </w:t>
            </w:r>
          </w:p>
        </w:tc>
        <w:tc>
          <w:tcPr>
            <w:tcW w:w="1818" w:type="pct"/>
          </w:tcPr>
          <w:p w:rsidR="00F02CAE" w:rsidRPr="00EF60C8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lastRenderedPageBreak/>
              <w:t>Кількість аналітичних центрів (</w:t>
            </w:r>
            <w:r>
              <w:t>think</w:t>
            </w:r>
            <w:r w:rsidRPr="00D4294A">
              <w:rPr>
                <w:lang w:val="uk-UA"/>
              </w:rPr>
              <w:t xml:space="preserve"> </w:t>
            </w:r>
            <w:r>
              <w:t>tanks</w:t>
            </w:r>
            <w:r w:rsidRPr="00D4294A">
              <w:rPr>
                <w:lang w:val="uk-UA"/>
              </w:rPr>
              <w:t xml:space="preserve">) </w:t>
            </w:r>
          </w:p>
        </w:tc>
        <w:tc>
          <w:tcPr>
            <w:tcW w:w="1817" w:type="pct"/>
            <w:vMerge w:val="restart"/>
          </w:tcPr>
          <w:p w:rsidR="00F02CAE" w:rsidRPr="00E11AB0" w:rsidRDefault="00F02CAE" w:rsidP="001E50D2">
            <w:proofErr w:type="spellStart"/>
            <w:r>
              <w:t>Gemm</w:t>
            </w:r>
            <w:proofErr w:type="spellEnd"/>
            <w:r>
              <w:t xml:space="preserve"> – gender empowerment measure multiplier</w:t>
            </w:r>
          </w:p>
          <w:p w:rsidR="00F02CAE" w:rsidRPr="00E11AB0" w:rsidRDefault="00F02CAE" w:rsidP="001E50D2">
            <w:r>
              <w:t>GII – Gender inequality index</w:t>
            </w:r>
          </w:p>
          <w:p w:rsidR="00F02CAE" w:rsidRDefault="00F02CAE" w:rsidP="001E50D2">
            <w:proofErr w:type="spellStart"/>
            <w:r>
              <w:t>democm</w:t>
            </w:r>
            <w:proofErr w:type="spellEnd"/>
            <w:r>
              <w:t xml:space="preserve"> - </w:t>
            </w:r>
            <w:proofErr w:type="spellStart"/>
            <w:r w:rsidRPr="00F61FED">
              <w:rPr>
                <w:lang w:val="uk-UA"/>
              </w:rPr>
              <w:t>Democracy</w:t>
            </w:r>
            <w:proofErr w:type="spellEnd"/>
            <w:r w:rsidRPr="00F61FED">
              <w:rPr>
                <w:lang w:val="uk-UA"/>
              </w:rPr>
              <w:t xml:space="preserve"> </w:t>
            </w:r>
            <w:proofErr w:type="spellStart"/>
            <w:r w:rsidRPr="00F61FED">
              <w:rPr>
                <w:lang w:val="uk-UA"/>
              </w:rPr>
              <w:t>level</w:t>
            </w:r>
            <w:proofErr w:type="spellEnd"/>
            <w:r w:rsidRPr="00F61FED">
              <w:rPr>
                <w:lang w:val="uk-UA"/>
              </w:rPr>
              <w:t xml:space="preserve"> </w:t>
            </w:r>
            <w:proofErr w:type="spellStart"/>
            <w:r w:rsidRPr="00F61FED">
              <w:rPr>
                <w:lang w:val="uk-UA"/>
              </w:rPr>
              <w:t>multiplier</w:t>
            </w:r>
            <w:proofErr w:type="spellEnd"/>
          </w:p>
          <w:p w:rsidR="00F02CAE" w:rsidRPr="00550B12" w:rsidRDefault="00F02CAE" w:rsidP="001E50D2">
            <w:pPr>
              <w:rPr>
                <w:lang w:val="uk-UA"/>
              </w:rPr>
            </w:pPr>
            <w:r>
              <w:t xml:space="preserve">Democracy Polity Index 2017 - </w:t>
            </w:r>
            <w:r w:rsidRPr="004B3A2C">
              <w:t>13.11</w:t>
            </w:r>
            <w:r>
              <w:t xml:space="preserve">, 2035 - </w:t>
            </w:r>
            <w:r w:rsidRPr="004B3A2C">
              <w:t>14.26</w:t>
            </w:r>
          </w:p>
          <w:p w:rsidR="00F02CAE" w:rsidRPr="00E11AB0" w:rsidRDefault="00F02CAE" w:rsidP="001E50D2">
            <w:proofErr w:type="spellStart"/>
            <w:r>
              <w:t>Gdpshadowshrm</w:t>
            </w:r>
            <w:proofErr w:type="spellEnd"/>
            <w:r>
              <w:t xml:space="preserve"> – shadow economy share multiplier</w:t>
            </w:r>
          </w:p>
          <w:p w:rsidR="00F02CAE" w:rsidRPr="00E11AB0" w:rsidRDefault="00F02CAE" w:rsidP="001E50D2">
            <w:r>
              <w:t>HOMICIDEINDEX</w:t>
            </w:r>
          </w:p>
          <w:p w:rsidR="00F02CAE" w:rsidRPr="00E11AB0" w:rsidRDefault="00F02CAE" w:rsidP="001E50D2">
            <w:proofErr w:type="spellStart"/>
            <w:r>
              <w:t>Ginidomm</w:t>
            </w:r>
            <w:proofErr w:type="spellEnd"/>
            <w:r>
              <w:t xml:space="preserve"> – Domestic GINI multiplier</w:t>
            </w:r>
          </w:p>
          <w:p w:rsidR="00F02CAE" w:rsidRPr="00550B12" w:rsidRDefault="00F02CAE" w:rsidP="001E50D2">
            <w:pPr>
              <w:rPr>
                <w:lang w:val="uk-UA"/>
              </w:rPr>
            </w:pPr>
            <w:r w:rsidRPr="00B06E5F">
              <w:rPr>
                <w:lang w:val="uk-UA"/>
              </w:rPr>
              <w:t xml:space="preserve">GINIDOM </w:t>
            </w:r>
            <w:r>
              <w:rPr>
                <w:lang w:val="uk-UA"/>
              </w:rPr>
              <w:t xml:space="preserve">2017 - </w:t>
            </w:r>
            <w:r w:rsidRPr="00B06E5F">
              <w:rPr>
                <w:lang w:val="uk-UA"/>
              </w:rPr>
              <w:t>.424</w:t>
            </w:r>
            <w:r>
              <w:t xml:space="preserve">, 2035 - </w:t>
            </w:r>
            <w:r w:rsidRPr="00B06E5F">
              <w:t>.392</w:t>
            </w:r>
          </w:p>
          <w:p w:rsidR="00F02CAE" w:rsidRPr="00270EF9" w:rsidRDefault="00F02CAE" w:rsidP="001E50D2">
            <w:proofErr w:type="spellStart"/>
            <w:r>
              <w:t>Goveffectm</w:t>
            </w:r>
            <w:proofErr w:type="spellEnd"/>
            <w:r>
              <w:t xml:space="preserve"> – government effectiveness multiplier</w:t>
            </w:r>
          </w:p>
          <w:p w:rsidR="00F02CAE" w:rsidRPr="00E11AB0" w:rsidRDefault="00F02CAE" w:rsidP="001E50D2">
            <w:proofErr w:type="spellStart"/>
            <w:r>
              <w:t>Govregqualm</w:t>
            </w:r>
            <w:proofErr w:type="spellEnd"/>
            <w:r>
              <w:t xml:space="preserve"> – </w:t>
            </w:r>
            <w:proofErr w:type="spellStart"/>
            <w:r>
              <w:t>gov</w:t>
            </w:r>
            <w:proofErr w:type="spellEnd"/>
            <w:r>
              <w:t xml:space="preserve"> regulatory quality multiplier</w:t>
            </w:r>
          </w:p>
          <w:p w:rsidR="00F02CAE" w:rsidRPr="00EF60C8" w:rsidRDefault="00F02CAE" w:rsidP="001E50D2">
            <w:pPr>
              <w:rPr>
                <w:lang w:val="uk-UA"/>
              </w:rPr>
            </w:pPr>
            <w:r w:rsidRPr="00B06E5F">
              <w:rPr>
                <w:lang w:val="uk-UA"/>
              </w:rPr>
              <w:lastRenderedPageBreak/>
              <w:t>GOVREGQUAL</w:t>
            </w:r>
            <w:r>
              <w:rPr>
                <w:lang w:val="uk-UA"/>
              </w:rPr>
              <w:t xml:space="preserve"> 2017 - </w:t>
            </w:r>
            <w:r w:rsidRPr="00B06E5F">
              <w:rPr>
                <w:lang w:val="uk-UA"/>
              </w:rPr>
              <w:t>2.819</w:t>
            </w:r>
            <w:r>
              <w:rPr>
                <w:lang w:val="uk-UA"/>
              </w:rPr>
              <w:t xml:space="preserve">, 2035 - </w:t>
            </w:r>
            <w:r w:rsidRPr="00B06E5F">
              <w:rPr>
                <w:lang w:val="uk-UA"/>
              </w:rPr>
              <w:t>3.073</w:t>
            </w:r>
          </w:p>
        </w:tc>
      </w:tr>
      <w:tr w:rsidR="00F02CAE" w:rsidRPr="00CC0393" w:rsidTr="001E50D2">
        <w:trPr>
          <w:trHeight w:val="304"/>
        </w:trPr>
        <w:tc>
          <w:tcPr>
            <w:tcW w:w="699" w:type="pct"/>
            <w:vMerge/>
          </w:tcPr>
          <w:p w:rsidR="00F02CAE" w:rsidRPr="00EF60C8" w:rsidRDefault="00F02CAE" w:rsidP="001E50D2">
            <w:pPr>
              <w:rPr>
                <w:lang w:val="uk-UA"/>
              </w:rPr>
            </w:pPr>
            <w:bookmarkStart w:id="1" w:name="_Hlk25099158"/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 xml:space="preserve">Індекс гендерної рівності </w:t>
            </w:r>
            <w:r>
              <w:t>(UNDP)</w:t>
            </w:r>
          </w:p>
        </w:tc>
        <w:tc>
          <w:tcPr>
            <w:tcW w:w="1817" w:type="pct"/>
            <w:vMerge/>
          </w:tcPr>
          <w:p w:rsidR="00F02CAE" w:rsidRPr="004B3A2C" w:rsidRDefault="00F02CAE" w:rsidP="001E50D2"/>
        </w:tc>
      </w:tr>
      <w:tr w:rsidR="00F02CAE" w:rsidRPr="00147DAD" w:rsidTr="001E50D2">
        <w:trPr>
          <w:trHeight w:val="304"/>
        </w:trPr>
        <w:tc>
          <w:tcPr>
            <w:tcW w:w="699" w:type="pct"/>
            <w:vMerge/>
          </w:tcPr>
          <w:p w:rsidR="00F02CAE" w:rsidRDefault="00F02CAE" w:rsidP="001E50D2"/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 xml:space="preserve">Індекс демократії </w:t>
            </w:r>
            <w:r>
              <w:t>The Economist</w:t>
            </w:r>
          </w:p>
        </w:tc>
        <w:tc>
          <w:tcPr>
            <w:tcW w:w="1817" w:type="pct"/>
            <w:vMerge/>
          </w:tcPr>
          <w:p w:rsidR="00F02CAE" w:rsidRPr="00550B12" w:rsidRDefault="00F02CAE" w:rsidP="001E50D2">
            <w:pPr>
              <w:rPr>
                <w:lang w:val="uk-UA"/>
              </w:rPr>
            </w:pPr>
          </w:p>
        </w:tc>
      </w:tr>
      <w:tr w:rsidR="00F02CAE" w:rsidRPr="00851E19" w:rsidTr="001E50D2">
        <w:trPr>
          <w:trHeight w:val="304"/>
        </w:trPr>
        <w:tc>
          <w:tcPr>
            <w:tcW w:w="699" w:type="pct"/>
            <w:vMerge/>
          </w:tcPr>
          <w:p w:rsidR="00F02CAE" w:rsidRPr="00D4294A" w:rsidRDefault="00F02CAE" w:rsidP="001E50D2">
            <w:pPr>
              <w:rPr>
                <w:lang w:val="uk-UA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EF60C8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>Розмір «тіньової економіки» у % від ВВП</w:t>
            </w:r>
          </w:p>
        </w:tc>
        <w:tc>
          <w:tcPr>
            <w:tcW w:w="1817" w:type="pct"/>
            <w:vMerge/>
          </w:tcPr>
          <w:p w:rsidR="00F02CAE" w:rsidRPr="00012FF2" w:rsidRDefault="00F02CAE" w:rsidP="001E50D2">
            <w:pPr>
              <w:rPr>
                <w:lang w:val="uk-UA"/>
              </w:rPr>
            </w:pPr>
          </w:p>
        </w:tc>
      </w:tr>
      <w:tr w:rsidR="00F02CAE" w:rsidRPr="00851E19" w:rsidTr="001E50D2">
        <w:trPr>
          <w:trHeight w:val="304"/>
        </w:trPr>
        <w:tc>
          <w:tcPr>
            <w:tcW w:w="699" w:type="pct"/>
            <w:vMerge/>
          </w:tcPr>
          <w:p w:rsidR="00F02CAE" w:rsidRPr="00EF60C8" w:rsidRDefault="00F02CAE" w:rsidP="001E50D2">
            <w:pPr>
              <w:rPr>
                <w:lang w:val="uk-UA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EF60C8" w:rsidRDefault="00F02CAE" w:rsidP="001E50D2">
            <w:pPr>
              <w:ind w:left="104"/>
              <w:rPr>
                <w:lang w:val="ru-RU"/>
              </w:rPr>
            </w:pPr>
            <w:r w:rsidRPr="00D4294A">
              <w:rPr>
                <w:lang w:val="uk-UA"/>
              </w:rPr>
              <w:t>Кількість вбивств на душу населення</w:t>
            </w:r>
          </w:p>
        </w:tc>
        <w:tc>
          <w:tcPr>
            <w:tcW w:w="1817" w:type="pct"/>
            <w:vMerge/>
          </w:tcPr>
          <w:p w:rsidR="00F02CAE" w:rsidRPr="00012FF2" w:rsidRDefault="00F02CAE" w:rsidP="001E50D2">
            <w:pPr>
              <w:rPr>
                <w:lang w:val="ru-RU"/>
              </w:rPr>
            </w:pPr>
          </w:p>
        </w:tc>
      </w:tr>
      <w:tr w:rsidR="00F02CAE" w:rsidRPr="00147DAD" w:rsidTr="001E50D2">
        <w:trPr>
          <w:trHeight w:val="304"/>
        </w:trPr>
        <w:tc>
          <w:tcPr>
            <w:tcW w:w="699" w:type="pct"/>
            <w:vMerge/>
          </w:tcPr>
          <w:p w:rsidR="00F02CAE" w:rsidRPr="00EF60C8" w:rsidRDefault="00F02CAE" w:rsidP="001E50D2">
            <w:pPr>
              <w:rPr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>
              <w:t>W</w:t>
            </w:r>
            <w:proofErr w:type="spellStart"/>
            <w:r w:rsidRPr="00D4294A">
              <w:rPr>
                <w:lang w:val="uk-UA"/>
              </w:rPr>
              <w:t>orld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Bank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Voice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and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Accountability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Index</w:t>
            </w:r>
            <w:proofErr w:type="spellEnd"/>
          </w:p>
        </w:tc>
        <w:tc>
          <w:tcPr>
            <w:tcW w:w="1817" w:type="pct"/>
            <w:vMerge/>
          </w:tcPr>
          <w:p w:rsidR="00F02CAE" w:rsidRPr="00550B12" w:rsidRDefault="00F02CAE" w:rsidP="001E50D2">
            <w:pPr>
              <w:rPr>
                <w:lang w:val="uk-UA"/>
              </w:rPr>
            </w:pPr>
          </w:p>
        </w:tc>
      </w:tr>
      <w:tr w:rsidR="00F02CAE" w:rsidRPr="00147DAD" w:rsidTr="001E50D2">
        <w:trPr>
          <w:trHeight w:val="304"/>
        </w:trPr>
        <w:tc>
          <w:tcPr>
            <w:tcW w:w="699" w:type="pct"/>
            <w:vMerge/>
          </w:tcPr>
          <w:p w:rsidR="00F02CAE" w:rsidRPr="00D4294A" w:rsidRDefault="00F02CAE" w:rsidP="001E50D2">
            <w:pPr>
              <w:rPr>
                <w:lang w:val="uk-UA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>Смертна кара</w:t>
            </w:r>
          </w:p>
        </w:tc>
        <w:tc>
          <w:tcPr>
            <w:tcW w:w="1817" w:type="pct"/>
            <w:vMerge/>
          </w:tcPr>
          <w:p w:rsidR="00F02CAE" w:rsidRPr="00550B12" w:rsidRDefault="00F02CAE" w:rsidP="001E50D2">
            <w:pPr>
              <w:rPr>
                <w:lang w:val="uk-UA"/>
              </w:rPr>
            </w:pPr>
          </w:p>
        </w:tc>
      </w:tr>
      <w:tr w:rsidR="00F02CAE" w:rsidRPr="00D4294A" w:rsidTr="001E50D2">
        <w:trPr>
          <w:trHeight w:val="304"/>
        </w:trPr>
        <w:tc>
          <w:tcPr>
            <w:tcW w:w="699" w:type="pct"/>
            <w:vMerge/>
          </w:tcPr>
          <w:p w:rsidR="00F02CAE" w:rsidRPr="00D4294A" w:rsidRDefault="00F02CAE" w:rsidP="001E50D2">
            <w:pPr>
              <w:rPr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>Нерівність доходів (</w:t>
            </w:r>
            <w:r>
              <w:t>GINI</w:t>
            </w:r>
            <w:r w:rsidRPr="00D4294A">
              <w:rPr>
                <w:lang w:val="ru-RU"/>
              </w:rPr>
              <w:t>)</w:t>
            </w:r>
          </w:p>
        </w:tc>
        <w:tc>
          <w:tcPr>
            <w:tcW w:w="1817" w:type="pct"/>
            <w:vMerge/>
          </w:tcPr>
          <w:p w:rsidR="00F02CAE" w:rsidRPr="00550B12" w:rsidRDefault="00F02CAE" w:rsidP="001E50D2">
            <w:pPr>
              <w:rPr>
                <w:lang w:val="uk-UA"/>
              </w:rPr>
            </w:pPr>
          </w:p>
        </w:tc>
      </w:tr>
      <w:tr w:rsidR="00F02CAE" w:rsidRPr="00CC0393" w:rsidTr="001E50D2">
        <w:trPr>
          <w:trHeight w:val="304"/>
        </w:trPr>
        <w:tc>
          <w:tcPr>
            <w:tcW w:w="699" w:type="pct"/>
            <w:vMerge/>
          </w:tcPr>
          <w:p w:rsidR="00F02CAE" w:rsidRDefault="00F02CAE" w:rsidP="001E50D2"/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 xml:space="preserve">Рівень довіри до уряду </w:t>
            </w:r>
            <w:r>
              <w:t>W</w:t>
            </w:r>
            <w:proofErr w:type="spellStart"/>
            <w:r w:rsidRPr="00D4294A">
              <w:rPr>
                <w:lang w:val="uk-UA"/>
              </w:rPr>
              <w:t>orld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Economic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Forum</w:t>
            </w:r>
            <w:proofErr w:type="spellEnd"/>
          </w:p>
        </w:tc>
        <w:tc>
          <w:tcPr>
            <w:tcW w:w="1817" w:type="pct"/>
            <w:vMerge/>
          </w:tcPr>
          <w:p w:rsidR="00F02CAE" w:rsidRPr="00550B12" w:rsidRDefault="00F02CAE" w:rsidP="001E50D2">
            <w:pPr>
              <w:rPr>
                <w:lang w:val="uk-UA"/>
              </w:rPr>
            </w:pPr>
          </w:p>
        </w:tc>
      </w:tr>
      <w:tr w:rsidR="00F02CAE" w:rsidRPr="00CC0393" w:rsidTr="001E50D2">
        <w:trPr>
          <w:trHeight w:val="304"/>
        </w:trPr>
        <w:tc>
          <w:tcPr>
            <w:tcW w:w="699" w:type="pct"/>
            <w:vMerge/>
          </w:tcPr>
          <w:p w:rsidR="00F02CAE" w:rsidRDefault="00F02CAE" w:rsidP="001E50D2"/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ru-RU"/>
              </w:rPr>
            </w:pPr>
            <w:r w:rsidRPr="00D4294A">
              <w:rPr>
                <w:lang w:val="uk-UA"/>
              </w:rPr>
              <w:t>Індекс свободи преси (</w:t>
            </w:r>
            <w:r>
              <w:t>RWB</w:t>
            </w:r>
            <w:r w:rsidRPr="00D4294A">
              <w:rPr>
                <w:lang w:val="ru-RU"/>
              </w:rPr>
              <w:t>)</w:t>
            </w:r>
          </w:p>
          <w:p w:rsidR="00F02CAE" w:rsidRPr="00D4294A" w:rsidRDefault="00F02CAE" w:rsidP="001E50D2">
            <w:pPr>
              <w:ind w:left="104"/>
              <w:rPr>
                <w:lang w:val="ru-RU"/>
              </w:rPr>
            </w:pPr>
          </w:p>
        </w:tc>
        <w:tc>
          <w:tcPr>
            <w:tcW w:w="1817" w:type="pct"/>
            <w:vMerge/>
          </w:tcPr>
          <w:p w:rsidR="00F02CAE" w:rsidRPr="00B06E5F" w:rsidRDefault="00F02CAE" w:rsidP="001E50D2"/>
        </w:tc>
      </w:tr>
      <w:tr w:rsidR="00F02CAE" w:rsidRPr="00851E19" w:rsidTr="001E50D2">
        <w:trPr>
          <w:trHeight w:val="304"/>
        </w:trPr>
        <w:tc>
          <w:tcPr>
            <w:tcW w:w="699" w:type="pct"/>
            <w:vMerge/>
          </w:tcPr>
          <w:p w:rsidR="00F02CAE" w:rsidRDefault="00F02CAE" w:rsidP="001E50D2"/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>Рівень ефективності уряду (Світовий банк)</w:t>
            </w:r>
          </w:p>
        </w:tc>
        <w:tc>
          <w:tcPr>
            <w:tcW w:w="1817" w:type="pct"/>
            <w:vMerge/>
          </w:tcPr>
          <w:p w:rsidR="00F02CAE" w:rsidRPr="00012FF2" w:rsidRDefault="00F02CAE" w:rsidP="001E50D2">
            <w:pPr>
              <w:rPr>
                <w:lang w:val="ru-RU"/>
              </w:rPr>
            </w:pPr>
          </w:p>
        </w:tc>
      </w:tr>
      <w:tr w:rsidR="00F02CAE" w:rsidRPr="00851E19" w:rsidTr="001E50D2">
        <w:trPr>
          <w:trHeight w:val="304"/>
        </w:trPr>
        <w:tc>
          <w:tcPr>
            <w:tcW w:w="699" w:type="pct"/>
            <w:vMerge/>
          </w:tcPr>
          <w:p w:rsidR="00F02CAE" w:rsidRPr="00012FF2" w:rsidRDefault="00F02CAE" w:rsidP="001E50D2">
            <w:pPr>
              <w:rPr>
                <w:lang w:val="ru-RU"/>
              </w:rPr>
            </w:pPr>
          </w:p>
        </w:tc>
        <w:tc>
          <w:tcPr>
            <w:tcW w:w="666" w:type="pct"/>
            <w:vMerge/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 xml:space="preserve">Рівень якості регулювання </w:t>
            </w:r>
            <w:r>
              <w:t>G</w:t>
            </w:r>
            <w:proofErr w:type="spellStart"/>
            <w:r w:rsidRPr="00D4294A">
              <w:rPr>
                <w:lang w:val="uk-UA"/>
              </w:rPr>
              <w:t>ood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Governance</w:t>
            </w:r>
            <w:proofErr w:type="spellEnd"/>
            <w:r w:rsidRPr="00D4294A">
              <w:rPr>
                <w:lang w:val="uk-UA"/>
              </w:rPr>
              <w:t xml:space="preserve"> (Світовий банк)</w:t>
            </w:r>
          </w:p>
        </w:tc>
        <w:tc>
          <w:tcPr>
            <w:tcW w:w="1817" w:type="pct"/>
            <w:vMerge/>
          </w:tcPr>
          <w:p w:rsidR="00F02CAE" w:rsidRPr="00550B12" w:rsidRDefault="00F02CAE" w:rsidP="001E50D2">
            <w:pPr>
              <w:rPr>
                <w:lang w:val="uk-UA"/>
              </w:rPr>
            </w:pPr>
          </w:p>
        </w:tc>
      </w:tr>
      <w:bookmarkEnd w:id="1"/>
      <w:tr w:rsidR="00F02CAE" w:rsidRPr="00851E19" w:rsidTr="001E50D2">
        <w:trPr>
          <w:trHeight w:val="932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F02CAE" w:rsidRPr="00012FF2" w:rsidRDefault="00F02CAE" w:rsidP="001E50D2">
            <w:pPr>
              <w:rPr>
                <w:lang w:val="uk-UA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F02CAE" w:rsidRDefault="00F02CAE" w:rsidP="001E50D2">
            <w:pPr>
              <w:rPr>
                <w:lang w:val="uk-UA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:rsidR="00F02CAE" w:rsidRPr="00D4294A" w:rsidRDefault="00F02CAE" w:rsidP="001E50D2">
            <w:pPr>
              <w:ind w:left="104"/>
              <w:rPr>
                <w:lang w:val="uk-UA"/>
              </w:rPr>
            </w:pPr>
            <w:r w:rsidRPr="00D4294A">
              <w:rPr>
                <w:lang w:val="uk-UA"/>
              </w:rPr>
              <w:t xml:space="preserve">Рівень верховенства права у </w:t>
            </w:r>
            <w:r>
              <w:t>G</w:t>
            </w:r>
            <w:proofErr w:type="spellStart"/>
            <w:r w:rsidRPr="00D4294A">
              <w:rPr>
                <w:lang w:val="uk-UA"/>
              </w:rPr>
              <w:t>ood</w:t>
            </w:r>
            <w:proofErr w:type="spellEnd"/>
            <w:r w:rsidRPr="00D4294A">
              <w:rPr>
                <w:lang w:val="uk-UA"/>
              </w:rPr>
              <w:t xml:space="preserve"> </w:t>
            </w:r>
            <w:proofErr w:type="spellStart"/>
            <w:r w:rsidRPr="00D4294A">
              <w:rPr>
                <w:lang w:val="uk-UA"/>
              </w:rPr>
              <w:t>Governance</w:t>
            </w:r>
            <w:proofErr w:type="spellEnd"/>
            <w:r w:rsidRPr="00D4294A">
              <w:rPr>
                <w:lang w:val="uk-UA"/>
              </w:rPr>
              <w:t xml:space="preserve"> (Світовий банк)</w:t>
            </w:r>
          </w:p>
        </w:tc>
        <w:tc>
          <w:tcPr>
            <w:tcW w:w="1817" w:type="pct"/>
            <w:vMerge/>
            <w:tcBorders>
              <w:bottom w:val="single" w:sz="4" w:space="0" w:color="auto"/>
            </w:tcBorders>
          </w:tcPr>
          <w:p w:rsidR="00F02CAE" w:rsidRPr="00550B12" w:rsidRDefault="00F02CAE" w:rsidP="001E50D2">
            <w:pPr>
              <w:rPr>
                <w:lang w:val="uk-UA"/>
              </w:rPr>
            </w:pPr>
          </w:p>
        </w:tc>
      </w:tr>
    </w:tbl>
    <w:p w:rsidR="00F02CAE" w:rsidRDefault="00F02CAE">
      <w:pPr>
        <w:rPr>
          <w:lang w:val="uk-UA"/>
        </w:rPr>
      </w:pPr>
    </w:p>
    <w:p w:rsidR="00B44B2E" w:rsidRPr="00202BFE" w:rsidRDefault="00B44B2E" w:rsidP="00B44B2E">
      <w:pPr>
        <w:rPr>
          <w:lang w:val="ru-RU"/>
        </w:rPr>
      </w:pPr>
      <w:r w:rsidRPr="00EF60C8">
        <w:rPr>
          <w:highlight w:val="red"/>
        </w:rPr>
        <w:t>DIGITAL</w:t>
      </w:r>
    </w:p>
    <w:p w:rsidR="00B44B2E" w:rsidRPr="00D742D8" w:rsidRDefault="00B44B2E" w:rsidP="00B44B2E">
      <w:pPr>
        <w:pStyle w:val="a3"/>
        <w:numPr>
          <w:ilvl w:val="0"/>
          <w:numId w:val="2"/>
        </w:numPr>
        <w:rPr>
          <w:b/>
          <w:lang w:val="uk-UA"/>
        </w:rPr>
      </w:pPr>
      <w:r w:rsidRPr="00D742D8">
        <w:rPr>
          <w:b/>
          <w:lang w:val="uk-UA"/>
        </w:rPr>
        <w:t xml:space="preserve">На першому місці по </w:t>
      </w:r>
      <w:proofErr w:type="spellStart"/>
      <w:r w:rsidRPr="00D742D8">
        <w:rPr>
          <w:b/>
          <w:lang w:val="uk-UA"/>
        </w:rPr>
        <w:t>діджитал</w:t>
      </w:r>
      <w:proofErr w:type="spellEnd"/>
      <w:r w:rsidRPr="00D742D8">
        <w:rPr>
          <w:b/>
          <w:lang w:val="uk-UA"/>
        </w:rPr>
        <w:t xml:space="preserve"> США</w:t>
      </w:r>
    </w:p>
    <w:p w:rsidR="00B44B2E" w:rsidRDefault="00DD38F3" w:rsidP="00B44B2E">
      <w:pPr>
        <w:rPr>
          <w:lang w:val="uk-UA"/>
        </w:rPr>
      </w:pPr>
      <w:r>
        <w:rPr>
          <w:b/>
          <w:lang w:val="uk-UA"/>
        </w:rPr>
        <w:t xml:space="preserve">Показник </w:t>
      </w:r>
      <w:r w:rsidR="00B44B2E" w:rsidRPr="00D742D8">
        <w:rPr>
          <w:b/>
          <w:lang w:val="uk-UA"/>
        </w:rPr>
        <w:t>США</w:t>
      </w:r>
      <w:r w:rsidR="00B44B2E">
        <w:rPr>
          <w:lang w:val="uk-UA"/>
        </w:rPr>
        <w:t>:</w:t>
      </w:r>
      <w:r>
        <w:rPr>
          <w:lang w:val="uk-UA"/>
        </w:rPr>
        <w:t xml:space="preserve"> 85,76</w:t>
      </w:r>
    </w:p>
    <w:p w:rsidR="00B44B2E" w:rsidRPr="00D742D8" w:rsidRDefault="00B44B2E" w:rsidP="00B44B2E">
      <w:pPr>
        <w:pStyle w:val="a3"/>
        <w:numPr>
          <w:ilvl w:val="0"/>
          <w:numId w:val="2"/>
        </w:numPr>
        <w:rPr>
          <w:b/>
          <w:lang w:val="uk-UA"/>
        </w:rPr>
      </w:pPr>
      <w:r>
        <w:rPr>
          <w:b/>
          <w:lang w:val="uk-UA"/>
        </w:rPr>
        <w:t>Китай</w:t>
      </w:r>
      <w:r w:rsidRPr="00D742D8">
        <w:rPr>
          <w:b/>
          <w:lang w:val="uk-UA"/>
        </w:rPr>
        <w:t xml:space="preserve"> </w:t>
      </w:r>
      <w:r>
        <w:rPr>
          <w:b/>
          <w:lang w:val="uk-UA"/>
        </w:rPr>
        <w:t xml:space="preserve">по </w:t>
      </w:r>
      <w:proofErr w:type="spellStart"/>
      <w:r>
        <w:rPr>
          <w:b/>
          <w:lang w:val="uk-UA"/>
        </w:rPr>
        <w:t>діджитал</w:t>
      </w:r>
      <w:proofErr w:type="spellEnd"/>
      <w:r>
        <w:rPr>
          <w:b/>
          <w:lang w:val="uk-UA"/>
        </w:rPr>
        <w:t xml:space="preserve"> на 30</w:t>
      </w:r>
      <w:r w:rsidRPr="00D742D8">
        <w:rPr>
          <w:b/>
          <w:lang w:val="uk-UA"/>
        </w:rPr>
        <w:t xml:space="preserve"> місці </w:t>
      </w:r>
    </w:p>
    <w:p w:rsidR="00B44B2E" w:rsidRPr="00DD38F3" w:rsidRDefault="00DD38F3" w:rsidP="00B44B2E">
      <w:r>
        <w:rPr>
          <w:b/>
          <w:lang w:val="uk-UA"/>
        </w:rPr>
        <w:t>Показник Китаю</w:t>
      </w:r>
      <w:r w:rsidR="00B44B2E">
        <w:rPr>
          <w:lang w:val="uk-UA"/>
        </w:rPr>
        <w:t>:</w:t>
      </w:r>
      <w:r>
        <w:rPr>
          <w:lang w:val="uk-UA"/>
        </w:rPr>
        <w:t xml:space="preserve"> 34,43</w:t>
      </w:r>
    </w:p>
    <w:p w:rsidR="00B44B2E" w:rsidRPr="00D742D8" w:rsidRDefault="00B44B2E" w:rsidP="00B44B2E">
      <w:pPr>
        <w:pStyle w:val="a3"/>
        <w:numPr>
          <w:ilvl w:val="0"/>
          <w:numId w:val="2"/>
        </w:numPr>
        <w:rPr>
          <w:b/>
          <w:lang w:val="uk-UA"/>
        </w:rPr>
      </w:pPr>
      <w:r w:rsidRPr="00D742D8">
        <w:rPr>
          <w:b/>
          <w:lang w:val="uk-UA"/>
        </w:rPr>
        <w:t>Параметри, які можна змінити:</w:t>
      </w:r>
    </w:p>
    <w:p w:rsidR="00B44B2E" w:rsidRPr="00147DAD" w:rsidRDefault="00803B8F" w:rsidP="00B44B2E">
      <w:pPr>
        <w:rPr>
          <w:lang w:val="uk-UA"/>
        </w:rPr>
      </w:pPr>
      <w:proofErr w:type="spellStart"/>
      <w:r w:rsidRPr="007A7FDA">
        <w:t>I</w:t>
      </w:r>
      <w:r w:rsidR="00B44B2E" w:rsidRPr="007A7FDA">
        <w:t>ctindexm</w:t>
      </w:r>
      <w:proofErr w:type="spellEnd"/>
      <w:r w:rsidRPr="00803B8F">
        <w:rPr>
          <w:lang w:val="uk-UA"/>
        </w:rPr>
        <w:t xml:space="preserve"> </w:t>
      </w:r>
      <w:r w:rsidR="00B44B2E" w:rsidRPr="00803B8F">
        <w:rPr>
          <w:lang w:val="uk-UA"/>
        </w:rPr>
        <w:t>(</w:t>
      </w:r>
      <w:r w:rsidR="00B44B2E">
        <w:t>ICT</w:t>
      </w:r>
      <w:r w:rsidR="00B44B2E" w:rsidRPr="00803B8F">
        <w:rPr>
          <w:lang w:val="uk-UA"/>
        </w:rPr>
        <w:t xml:space="preserve"> </w:t>
      </w:r>
      <w:r w:rsidR="00B44B2E">
        <w:t>pervasiveness</w:t>
      </w:r>
      <w:r w:rsidR="00B44B2E" w:rsidRPr="00803B8F">
        <w:rPr>
          <w:lang w:val="uk-UA"/>
        </w:rPr>
        <w:t xml:space="preserve"> </w:t>
      </w:r>
      <w:r w:rsidR="00B44B2E">
        <w:t>index</w:t>
      </w:r>
      <w:r w:rsidR="00B44B2E" w:rsidRPr="00803B8F">
        <w:rPr>
          <w:lang w:val="uk-UA"/>
        </w:rPr>
        <w:t xml:space="preserve">) – </w:t>
      </w:r>
      <w:r w:rsidR="00B44B2E">
        <w:rPr>
          <w:lang w:val="uk-UA"/>
        </w:rPr>
        <w:t>індекс поширеності ІКТ</w:t>
      </w:r>
    </w:p>
    <w:p w:rsidR="00B44B2E" w:rsidRPr="00317FE9" w:rsidRDefault="00B44B2E" w:rsidP="00B44B2E">
      <w:pPr>
        <w:rPr>
          <w:lang w:val="uk-UA"/>
        </w:rPr>
      </w:pPr>
      <w:proofErr w:type="spellStart"/>
      <w:proofErr w:type="gramStart"/>
      <w:r w:rsidRPr="007A7FDA">
        <w:t>ictintnetbwpum</w:t>
      </w:r>
      <w:proofErr w:type="spellEnd"/>
      <w:proofErr w:type="gramEnd"/>
      <w:r w:rsidRPr="00317FE9">
        <w:rPr>
          <w:lang w:val="uk-UA"/>
        </w:rPr>
        <w:t xml:space="preserve"> (</w:t>
      </w:r>
      <w:r>
        <w:t>bandwidth</w:t>
      </w:r>
      <w:r w:rsidRPr="00317FE9">
        <w:rPr>
          <w:lang w:val="uk-UA"/>
        </w:rPr>
        <w:t xml:space="preserve"> </w:t>
      </w:r>
      <w:r>
        <w:t>per</w:t>
      </w:r>
      <w:r w:rsidRPr="00317FE9">
        <w:rPr>
          <w:lang w:val="uk-UA"/>
        </w:rPr>
        <w:t xml:space="preserve"> </w:t>
      </w:r>
      <w:r>
        <w:t>user</w:t>
      </w:r>
      <w:r w:rsidRPr="00317FE9">
        <w:rPr>
          <w:lang w:val="uk-UA"/>
        </w:rPr>
        <w:t>)</w:t>
      </w:r>
      <w:r>
        <w:rPr>
          <w:lang w:val="uk-UA"/>
        </w:rPr>
        <w:t xml:space="preserve"> – пропускна здатність Інтернету</w:t>
      </w:r>
    </w:p>
    <w:p w:rsidR="00B44B2E" w:rsidRPr="00317FE9" w:rsidRDefault="00B44B2E" w:rsidP="00B44B2E">
      <w:pPr>
        <w:rPr>
          <w:lang w:val="uk-UA"/>
        </w:rPr>
      </w:pPr>
      <w:proofErr w:type="spellStart"/>
      <w:proofErr w:type="gramStart"/>
      <w:r w:rsidRPr="007A7FDA">
        <w:t>ictbroadm</w:t>
      </w:r>
      <w:proofErr w:type="spellEnd"/>
      <w:proofErr w:type="gramEnd"/>
      <w:r w:rsidR="00977FEA">
        <w:t xml:space="preserve"> </w:t>
      </w:r>
      <w:r w:rsidRPr="00803B8F">
        <w:rPr>
          <w:lang w:val="uk-UA"/>
        </w:rPr>
        <w:t>(</w:t>
      </w:r>
      <w:r>
        <w:t>ICT</w:t>
      </w:r>
      <w:r w:rsidRPr="00803B8F">
        <w:rPr>
          <w:lang w:val="uk-UA"/>
        </w:rPr>
        <w:t xml:space="preserve"> </w:t>
      </w:r>
      <w:r>
        <w:t>Broadband</w:t>
      </w:r>
      <w:r w:rsidRPr="00803B8F">
        <w:rPr>
          <w:lang w:val="uk-UA"/>
        </w:rPr>
        <w:t xml:space="preserve"> </w:t>
      </w:r>
      <w:r>
        <w:t>multiplier</w:t>
      </w:r>
      <w:r w:rsidRPr="00803B8F">
        <w:rPr>
          <w:lang w:val="uk-UA"/>
        </w:rPr>
        <w:t>) (</w:t>
      </w:r>
      <w:r>
        <w:t>percentage</w:t>
      </w:r>
      <w:r w:rsidRPr="00803B8F">
        <w:rPr>
          <w:lang w:val="uk-UA"/>
        </w:rPr>
        <w:t xml:space="preserve"> </w:t>
      </w:r>
      <w:r>
        <w:t>of</w:t>
      </w:r>
      <w:r w:rsidRPr="00803B8F">
        <w:rPr>
          <w:lang w:val="uk-UA"/>
        </w:rPr>
        <w:t xml:space="preserve"> </w:t>
      </w:r>
      <w:r>
        <w:t>population with access to fixed broadband technology)</w:t>
      </w:r>
      <w:r>
        <w:rPr>
          <w:lang w:val="uk-UA"/>
        </w:rPr>
        <w:t xml:space="preserve"> – доступ до широкосмугового Інтернету</w:t>
      </w:r>
    </w:p>
    <w:p w:rsidR="00B44B2E" w:rsidRPr="00AF3649" w:rsidRDefault="00B44B2E" w:rsidP="00B44B2E">
      <w:pPr>
        <w:rPr>
          <w:lang w:val="uk-UA"/>
        </w:rPr>
      </w:pPr>
      <w:proofErr w:type="spellStart"/>
      <w:proofErr w:type="gramStart"/>
      <w:r w:rsidRPr="007A7FDA">
        <w:t>ictbroadmobilm</w:t>
      </w:r>
      <w:proofErr w:type="spellEnd"/>
      <w:proofErr w:type="gramEnd"/>
      <w:r>
        <w:rPr>
          <w:lang w:val="uk-UA"/>
        </w:rPr>
        <w:t xml:space="preserve"> (</w:t>
      </w:r>
      <w:r w:rsidRPr="00AF3649">
        <w:rPr>
          <w:lang w:val="uk-UA"/>
        </w:rPr>
        <w:t xml:space="preserve">ICT </w:t>
      </w:r>
      <w:proofErr w:type="spellStart"/>
      <w:r w:rsidRPr="00AF3649">
        <w:rPr>
          <w:lang w:val="uk-UA"/>
        </w:rPr>
        <w:t>Mobile</w:t>
      </w:r>
      <w:proofErr w:type="spellEnd"/>
      <w:r w:rsidRPr="00AF3649">
        <w:rPr>
          <w:lang w:val="uk-UA"/>
        </w:rPr>
        <w:t xml:space="preserve"> </w:t>
      </w:r>
      <w:proofErr w:type="spellStart"/>
      <w:r w:rsidRPr="00AF3649">
        <w:rPr>
          <w:lang w:val="uk-UA"/>
        </w:rPr>
        <w:t>Broadband</w:t>
      </w:r>
      <w:proofErr w:type="spellEnd"/>
      <w:r w:rsidRPr="00AF3649">
        <w:rPr>
          <w:lang w:val="uk-UA"/>
        </w:rPr>
        <w:t xml:space="preserve"> </w:t>
      </w:r>
      <w:proofErr w:type="spellStart"/>
      <w:r w:rsidRPr="00AF3649">
        <w:rPr>
          <w:lang w:val="uk-UA"/>
        </w:rPr>
        <w:t>multiplier</w:t>
      </w:r>
      <w:proofErr w:type="spellEnd"/>
      <w:r>
        <w:rPr>
          <w:lang w:val="uk-UA"/>
        </w:rPr>
        <w:t>) – доступ до швидкісного мобільного Інтернету</w:t>
      </w:r>
    </w:p>
    <w:p w:rsidR="00B44B2E" w:rsidRPr="00317FE9" w:rsidRDefault="00B44B2E" w:rsidP="00B44B2E">
      <w:pPr>
        <w:rPr>
          <w:lang w:val="uk-UA"/>
        </w:rPr>
      </w:pPr>
      <w:proofErr w:type="spellStart"/>
      <w:proofErr w:type="gramStart"/>
      <w:r w:rsidRPr="007A7FDA">
        <w:t>ictspendm</w:t>
      </w:r>
      <w:proofErr w:type="spellEnd"/>
      <w:proofErr w:type="gramEnd"/>
      <w:r w:rsidRPr="00803B8F">
        <w:rPr>
          <w:lang w:val="uk-UA"/>
        </w:rPr>
        <w:t xml:space="preserve"> (</w:t>
      </w:r>
      <w:r>
        <w:t>ICT</w:t>
      </w:r>
      <w:r w:rsidRPr="00803B8F">
        <w:rPr>
          <w:lang w:val="uk-UA"/>
        </w:rPr>
        <w:t xml:space="preserve"> </w:t>
      </w:r>
      <w:r>
        <w:t>spending</w:t>
      </w:r>
      <w:r w:rsidRPr="00803B8F">
        <w:rPr>
          <w:lang w:val="uk-UA"/>
        </w:rPr>
        <w:t xml:space="preserve"> </w:t>
      </w:r>
      <w:r>
        <w:t>multiplier</w:t>
      </w:r>
      <w:r w:rsidRPr="00803B8F">
        <w:rPr>
          <w:lang w:val="uk-UA"/>
        </w:rPr>
        <w:t xml:space="preserve">, </w:t>
      </w:r>
      <w:r>
        <w:t>percent</w:t>
      </w:r>
      <w:r w:rsidRPr="00803B8F">
        <w:rPr>
          <w:lang w:val="uk-UA"/>
        </w:rPr>
        <w:t xml:space="preserve"> </w:t>
      </w:r>
      <w:r>
        <w:t>of</w:t>
      </w:r>
      <w:r w:rsidRPr="00803B8F">
        <w:rPr>
          <w:lang w:val="uk-UA"/>
        </w:rPr>
        <w:t xml:space="preserve"> </w:t>
      </w:r>
      <w:r>
        <w:t>GDP</w:t>
      </w:r>
      <w:r w:rsidRPr="00803B8F">
        <w:rPr>
          <w:lang w:val="uk-UA"/>
        </w:rPr>
        <w:t>)</w:t>
      </w:r>
      <w:r>
        <w:rPr>
          <w:lang w:val="uk-UA"/>
        </w:rPr>
        <w:t xml:space="preserve"> – витрати на ІКТ</w:t>
      </w:r>
    </w:p>
    <w:p w:rsidR="00B44B2E" w:rsidRDefault="00B44B2E" w:rsidP="00B44B2E">
      <w:pPr>
        <w:rPr>
          <w:lang w:val="uk-UA"/>
        </w:rPr>
      </w:pPr>
      <w:proofErr w:type="spellStart"/>
      <w:proofErr w:type="gramStart"/>
      <w:r w:rsidRPr="007A7FDA">
        <w:t>democm</w:t>
      </w:r>
      <w:proofErr w:type="spellEnd"/>
      <w:proofErr w:type="gramEnd"/>
      <w:r w:rsidR="007A7FDA">
        <w:t xml:space="preserve"> </w:t>
      </w:r>
      <w:r w:rsidRPr="00803B8F">
        <w:rPr>
          <w:lang w:val="uk-UA"/>
        </w:rPr>
        <w:t xml:space="preserve">– </w:t>
      </w:r>
      <w:r>
        <w:rPr>
          <w:lang w:val="uk-UA"/>
        </w:rPr>
        <w:t>демократизація (</w:t>
      </w:r>
      <w:proofErr w:type="spellStart"/>
      <w:r w:rsidRPr="00F61FED">
        <w:rPr>
          <w:lang w:val="uk-UA"/>
        </w:rPr>
        <w:t>Democracy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level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multiplier</w:t>
      </w:r>
      <w:proofErr w:type="spellEnd"/>
      <w:r w:rsidRPr="00F61FED">
        <w:rPr>
          <w:lang w:val="uk-UA"/>
        </w:rPr>
        <w:t xml:space="preserve">, </w:t>
      </w:r>
      <w:proofErr w:type="spellStart"/>
      <w:r w:rsidRPr="00F61FED">
        <w:rPr>
          <w:lang w:val="uk-UA"/>
        </w:rPr>
        <w:t>unit-less</w:t>
      </w:r>
      <w:proofErr w:type="spellEnd"/>
      <w:r w:rsidRPr="00F61FED">
        <w:rPr>
          <w:lang w:val="uk-UA"/>
        </w:rPr>
        <w:t xml:space="preserve">, </w:t>
      </w:r>
      <w:proofErr w:type="spellStart"/>
      <w:r w:rsidRPr="00F61FED">
        <w:rPr>
          <w:lang w:val="uk-UA"/>
        </w:rPr>
        <w:t>by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region</w:t>
      </w:r>
      <w:proofErr w:type="spellEnd"/>
      <w:r w:rsidRPr="00F61FED">
        <w:rPr>
          <w:lang w:val="uk-UA"/>
        </w:rPr>
        <w:t xml:space="preserve">. A </w:t>
      </w:r>
      <w:proofErr w:type="spellStart"/>
      <w:r w:rsidRPr="00F61FED">
        <w:rPr>
          <w:lang w:val="uk-UA"/>
        </w:rPr>
        <w:t>value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of</w:t>
      </w:r>
      <w:proofErr w:type="spellEnd"/>
      <w:r w:rsidRPr="00F61FED">
        <w:rPr>
          <w:lang w:val="uk-UA"/>
        </w:rPr>
        <w:t xml:space="preserve"> 1 </w:t>
      </w:r>
      <w:proofErr w:type="spellStart"/>
      <w:r w:rsidRPr="00F61FED">
        <w:rPr>
          <w:lang w:val="uk-UA"/>
        </w:rPr>
        <w:t>implies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no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change</w:t>
      </w:r>
      <w:proofErr w:type="spellEnd"/>
      <w:r w:rsidRPr="00F61FED">
        <w:rPr>
          <w:lang w:val="uk-UA"/>
        </w:rPr>
        <w:t xml:space="preserve">, </w:t>
      </w:r>
      <w:proofErr w:type="spellStart"/>
      <w:r w:rsidRPr="00F61FED">
        <w:rPr>
          <w:lang w:val="uk-UA"/>
        </w:rPr>
        <w:t>while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higher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values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proportionately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increase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the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underlying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value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and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lower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values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decrease</w:t>
      </w:r>
      <w:proofErr w:type="spellEnd"/>
      <w:r w:rsidRPr="00F61FED">
        <w:rPr>
          <w:lang w:val="uk-UA"/>
        </w:rPr>
        <w:t xml:space="preserve"> </w:t>
      </w:r>
      <w:proofErr w:type="spellStart"/>
      <w:r w:rsidRPr="00F61FED">
        <w:rPr>
          <w:lang w:val="uk-UA"/>
        </w:rPr>
        <w:t>it</w:t>
      </w:r>
      <w:proofErr w:type="spellEnd"/>
      <w:r>
        <w:rPr>
          <w:lang w:val="uk-UA"/>
        </w:rPr>
        <w:t>)</w:t>
      </w:r>
      <w:r w:rsidRPr="00F61FED">
        <w:rPr>
          <w:lang w:val="uk-UA"/>
        </w:rPr>
        <w:t>.</w:t>
      </w:r>
    </w:p>
    <w:p w:rsidR="00B44B2E" w:rsidRPr="00F61FED" w:rsidRDefault="00803B8F" w:rsidP="00B44B2E">
      <w:pPr>
        <w:rPr>
          <w:lang w:val="uk-UA"/>
        </w:rPr>
      </w:pPr>
      <w:proofErr w:type="spellStart"/>
      <w:proofErr w:type="gramStart"/>
      <w:r w:rsidRPr="007A7FDA">
        <w:t>Freedom</w:t>
      </w:r>
      <w:r w:rsidR="0073085E" w:rsidRPr="007A7FDA">
        <w:t>m</w:t>
      </w:r>
      <w:proofErr w:type="spellEnd"/>
      <w:r>
        <w:t xml:space="preserve"> </w:t>
      </w:r>
      <w:r w:rsidR="00B44B2E" w:rsidRPr="00F61FED">
        <w:rPr>
          <w:lang w:val="uk-UA"/>
        </w:rPr>
        <w:t xml:space="preserve"> </w:t>
      </w:r>
      <w:r w:rsidR="00B44B2E">
        <w:t>-</w:t>
      </w:r>
      <w:proofErr w:type="gramEnd"/>
      <w:r w:rsidR="00B44B2E">
        <w:t xml:space="preserve"> </w:t>
      </w:r>
      <w:r w:rsidR="00B44B2E">
        <w:rPr>
          <w:lang w:val="uk-UA"/>
        </w:rPr>
        <w:t>збільшення свободи слова (</w:t>
      </w:r>
      <w:proofErr w:type="spellStart"/>
      <w:r w:rsidR="00B44B2E" w:rsidRPr="00F61FED">
        <w:rPr>
          <w:lang w:val="uk-UA"/>
        </w:rPr>
        <w:t>Freedom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multiplier</w:t>
      </w:r>
      <w:proofErr w:type="spellEnd"/>
      <w:r w:rsidR="00B44B2E" w:rsidRPr="00F61FED">
        <w:rPr>
          <w:lang w:val="uk-UA"/>
        </w:rPr>
        <w:t xml:space="preserve">. </w:t>
      </w:r>
      <w:proofErr w:type="spellStart"/>
      <w:r w:rsidR="00B44B2E" w:rsidRPr="00F61FED">
        <w:rPr>
          <w:lang w:val="uk-UA"/>
        </w:rPr>
        <w:t>Multiplier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on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Freedom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House's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measure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of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freedom</w:t>
      </w:r>
      <w:proofErr w:type="spellEnd"/>
      <w:r w:rsidR="00B44B2E" w:rsidRPr="00F61FED">
        <w:rPr>
          <w:lang w:val="uk-UA"/>
        </w:rPr>
        <w:t xml:space="preserve"> (FREEDOM), </w:t>
      </w:r>
      <w:proofErr w:type="spellStart"/>
      <w:r w:rsidR="00B44B2E" w:rsidRPr="00F61FED">
        <w:rPr>
          <w:lang w:val="uk-UA"/>
        </w:rPr>
        <w:t>which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sums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civil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and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political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scales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and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also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changes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endogenously</w:t>
      </w:r>
      <w:proofErr w:type="spellEnd"/>
      <w:r w:rsidR="00B44B2E" w:rsidRPr="00F61FED">
        <w:rPr>
          <w:lang w:val="uk-UA"/>
        </w:rPr>
        <w:t xml:space="preserve">. </w:t>
      </w:r>
      <w:proofErr w:type="spellStart"/>
      <w:r w:rsidR="00B44B2E" w:rsidRPr="00F61FED">
        <w:rPr>
          <w:lang w:val="uk-UA"/>
        </w:rPr>
        <w:t>Because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Freedom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House's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two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scales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each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run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from</w:t>
      </w:r>
      <w:proofErr w:type="spellEnd"/>
      <w:r w:rsidR="00B44B2E" w:rsidRPr="00F61FED">
        <w:rPr>
          <w:lang w:val="uk-UA"/>
        </w:rPr>
        <w:t xml:space="preserve"> 1 (</w:t>
      </w:r>
      <w:proofErr w:type="spellStart"/>
      <w:r w:rsidR="00B44B2E" w:rsidRPr="00F61FED">
        <w:rPr>
          <w:lang w:val="uk-UA"/>
        </w:rPr>
        <w:t>most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free</w:t>
      </w:r>
      <w:proofErr w:type="spellEnd"/>
      <w:r w:rsidR="00B44B2E" w:rsidRPr="00F61FED">
        <w:rPr>
          <w:lang w:val="uk-UA"/>
        </w:rPr>
        <w:t xml:space="preserve">) </w:t>
      </w:r>
      <w:proofErr w:type="spellStart"/>
      <w:r w:rsidR="00B44B2E" w:rsidRPr="00F61FED">
        <w:rPr>
          <w:lang w:val="uk-UA"/>
        </w:rPr>
        <w:t>to</w:t>
      </w:r>
      <w:proofErr w:type="spellEnd"/>
      <w:r w:rsidR="00B44B2E" w:rsidRPr="00F61FED">
        <w:rPr>
          <w:lang w:val="uk-UA"/>
        </w:rPr>
        <w:t xml:space="preserve"> 7 (</w:t>
      </w:r>
      <w:proofErr w:type="spellStart"/>
      <w:r w:rsidR="00B44B2E" w:rsidRPr="00F61FED">
        <w:rPr>
          <w:lang w:val="uk-UA"/>
        </w:rPr>
        <w:t>least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free</w:t>
      </w:r>
      <w:proofErr w:type="spellEnd"/>
      <w:r w:rsidR="00B44B2E" w:rsidRPr="00F61FED">
        <w:rPr>
          <w:lang w:val="uk-UA"/>
        </w:rPr>
        <w:t xml:space="preserve">), </w:t>
      </w:r>
      <w:proofErr w:type="spellStart"/>
      <w:r w:rsidR="00B44B2E" w:rsidRPr="00F61FED">
        <w:rPr>
          <w:lang w:val="uk-UA"/>
        </w:rPr>
        <w:t>the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combined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scale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runs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from</w:t>
      </w:r>
      <w:proofErr w:type="spellEnd"/>
      <w:r w:rsidR="00B44B2E" w:rsidRPr="00F61FED">
        <w:rPr>
          <w:lang w:val="uk-UA"/>
        </w:rPr>
        <w:t xml:space="preserve"> 2 (</w:t>
      </w:r>
      <w:proofErr w:type="spellStart"/>
      <w:r w:rsidR="00B44B2E" w:rsidRPr="00F61FED">
        <w:rPr>
          <w:lang w:val="uk-UA"/>
        </w:rPr>
        <w:t>most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free</w:t>
      </w:r>
      <w:proofErr w:type="spellEnd"/>
      <w:r w:rsidR="00B44B2E" w:rsidRPr="00F61FED">
        <w:rPr>
          <w:lang w:val="uk-UA"/>
        </w:rPr>
        <w:t xml:space="preserve">) </w:t>
      </w:r>
      <w:proofErr w:type="spellStart"/>
      <w:r w:rsidR="00B44B2E" w:rsidRPr="00F61FED">
        <w:rPr>
          <w:lang w:val="uk-UA"/>
        </w:rPr>
        <w:t>to</w:t>
      </w:r>
      <w:proofErr w:type="spellEnd"/>
      <w:r w:rsidR="00B44B2E" w:rsidRPr="00F61FED">
        <w:rPr>
          <w:lang w:val="uk-UA"/>
        </w:rPr>
        <w:t xml:space="preserve"> 14 (</w:t>
      </w:r>
      <w:proofErr w:type="spellStart"/>
      <w:r w:rsidR="00B44B2E" w:rsidRPr="00F61FED">
        <w:rPr>
          <w:lang w:val="uk-UA"/>
        </w:rPr>
        <w:t>least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free</w:t>
      </w:r>
      <w:proofErr w:type="spellEnd"/>
      <w:r w:rsidR="00B44B2E" w:rsidRPr="00F61FED">
        <w:rPr>
          <w:lang w:val="uk-UA"/>
        </w:rPr>
        <w:t xml:space="preserve">). A </w:t>
      </w:r>
      <w:proofErr w:type="spellStart"/>
      <w:r w:rsidR="00B44B2E" w:rsidRPr="00F61FED">
        <w:rPr>
          <w:lang w:val="uk-UA"/>
        </w:rPr>
        <w:t>value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of</w:t>
      </w:r>
      <w:proofErr w:type="spellEnd"/>
      <w:r w:rsidR="00B44B2E" w:rsidRPr="00F61FED">
        <w:rPr>
          <w:lang w:val="uk-UA"/>
        </w:rPr>
        <w:t xml:space="preserve"> 1 </w:t>
      </w:r>
      <w:proofErr w:type="spellStart"/>
      <w:r w:rsidR="00B44B2E" w:rsidRPr="00F61FED">
        <w:rPr>
          <w:lang w:val="uk-UA"/>
        </w:rPr>
        <w:t>in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the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multiplier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implies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no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change</w:t>
      </w:r>
      <w:proofErr w:type="spellEnd"/>
      <w:r w:rsidR="00B44B2E" w:rsidRPr="00F61FED">
        <w:rPr>
          <w:lang w:val="uk-UA"/>
        </w:rPr>
        <w:t xml:space="preserve">, </w:t>
      </w:r>
      <w:proofErr w:type="spellStart"/>
      <w:r w:rsidR="00B44B2E" w:rsidRPr="00F61FED">
        <w:rPr>
          <w:lang w:val="uk-UA"/>
        </w:rPr>
        <w:t>while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higher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values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increase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the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value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of</w:t>
      </w:r>
      <w:proofErr w:type="spellEnd"/>
      <w:r w:rsidR="00B44B2E" w:rsidRPr="00F61FED">
        <w:rPr>
          <w:lang w:val="uk-UA"/>
        </w:rPr>
        <w:t xml:space="preserve"> FREEDOM (</w:t>
      </w:r>
      <w:proofErr w:type="spellStart"/>
      <w:r w:rsidR="00B44B2E" w:rsidRPr="00F61FED">
        <w:rPr>
          <w:lang w:val="uk-UA"/>
        </w:rPr>
        <w:t>making</w:t>
      </w:r>
      <w:proofErr w:type="spellEnd"/>
      <w:r w:rsidR="00B44B2E" w:rsidRPr="00F61FED">
        <w:rPr>
          <w:lang w:val="uk-UA"/>
        </w:rPr>
        <w:t xml:space="preserve"> a </w:t>
      </w:r>
      <w:proofErr w:type="spellStart"/>
      <w:r w:rsidR="00B44B2E" w:rsidRPr="00F61FED">
        <w:rPr>
          <w:lang w:val="uk-UA"/>
        </w:rPr>
        <w:t>country</w:t>
      </w:r>
      <w:proofErr w:type="spellEnd"/>
      <w:r w:rsidR="00B44B2E" w:rsidRPr="00F61FED">
        <w:rPr>
          <w:lang w:val="uk-UA"/>
        </w:rPr>
        <w:t>/</w:t>
      </w:r>
      <w:proofErr w:type="spellStart"/>
      <w:r w:rsidR="00B44B2E" w:rsidRPr="00F61FED">
        <w:rPr>
          <w:lang w:val="uk-UA"/>
        </w:rPr>
        <w:t>region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less</w:t>
      </w:r>
      <w:proofErr w:type="spellEnd"/>
      <w:r w:rsidR="00B44B2E" w:rsidRPr="00F61FED">
        <w:rPr>
          <w:lang w:val="uk-UA"/>
        </w:rPr>
        <w:t xml:space="preserve"> </w:t>
      </w:r>
      <w:proofErr w:type="spellStart"/>
      <w:r w:rsidR="00B44B2E" w:rsidRPr="00F61FED">
        <w:rPr>
          <w:lang w:val="uk-UA"/>
        </w:rPr>
        <w:t>free</w:t>
      </w:r>
      <w:proofErr w:type="spellEnd"/>
      <w:r w:rsidR="00B44B2E" w:rsidRPr="00F61FED">
        <w:rPr>
          <w:lang w:val="uk-UA"/>
        </w:rPr>
        <w:t>).</w:t>
      </w:r>
    </w:p>
    <w:p w:rsidR="00B44B2E" w:rsidRPr="00D742D8" w:rsidRDefault="00B44B2E" w:rsidP="00B44B2E">
      <w:pPr>
        <w:pStyle w:val="a3"/>
        <w:numPr>
          <w:ilvl w:val="0"/>
          <w:numId w:val="2"/>
        </w:numPr>
        <w:rPr>
          <w:b/>
          <w:lang w:val="uk-UA"/>
        </w:rPr>
      </w:pPr>
      <w:proofErr w:type="spellStart"/>
      <w:r w:rsidRPr="00D742D8">
        <w:rPr>
          <w:b/>
          <w:lang w:val="uk-UA"/>
        </w:rPr>
        <w:lastRenderedPageBreak/>
        <w:t>Зміню</w:t>
      </w:r>
      <w:r>
        <w:rPr>
          <w:b/>
          <w:lang w:val="uk-UA"/>
        </w:rPr>
        <w:t>ємл</w:t>
      </w:r>
      <w:proofErr w:type="spellEnd"/>
      <w:r>
        <w:rPr>
          <w:b/>
          <w:lang w:val="uk-UA"/>
        </w:rPr>
        <w:t xml:space="preserve"> (</w:t>
      </w:r>
      <w:proofErr w:type="spellStart"/>
      <w:r>
        <w:rPr>
          <w:b/>
          <w:lang w:val="uk-UA"/>
        </w:rPr>
        <w:t>кумулятивно</w:t>
      </w:r>
      <w:proofErr w:type="spellEnd"/>
      <w:r>
        <w:rPr>
          <w:b/>
          <w:lang w:val="uk-UA"/>
        </w:rPr>
        <w:t>, додаючи з кожним кроком наступний параметр) і запускаємо сценарій.</w:t>
      </w:r>
    </w:p>
    <w:p w:rsidR="00B44B2E" w:rsidRPr="005871BC" w:rsidRDefault="00B44B2E" w:rsidP="00B44B2E">
      <w:pPr>
        <w:rPr>
          <w:lang w:val="uk-UA"/>
        </w:rPr>
      </w:pPr>
      <w:proofErr w:type="spellStart"/>
      <w:r>
        <w:t>Ictindexm</w:t>
      </w:r>
      <w:proofErr w:type="spellEnd"/>
      <w:r>
        <w:rPr>
          <w:lang w:val="uk-UA"/>
        </w:rPr>
        <w:t xml:space="preserve"> (виставляємо показники 1.5, 2 (за максимального показника 3) – інтерполюємо по 10 років). </w:t>
      </w:r>
    </w:p>
    <w:p w:rsidR="00B44B2E" w:rsidRDefault="00B44B2E" w:rsidP="00B44B2E">
      <w:pPr>
        <w:rPr>
          <w:lang w:val="uk-UA"/>
        </w:rPr>
      </w:pPr>
      <w:proofErr w:type="spellStart"/>
      <w:r>
        <w:t>Ictintnetbwpum</w:t>
      </w:r>
      <w:proofErr w:type="spellEnd"/>
      <w:r w:rsidR="007A7FDA">
        <w:rPr>
          <w:lang w:val="uk-UA"/>
        </w:rPr>
        <w:t xml:space="preserve"> (2, 3</w:t>
      </w:r>
      <w:proofErr w:type="gramStart"/>
      <w:r w:rsidR="007A7FDA">
        <w:rPr>
          <w:lang w:val="uk-UA"/>
        </w:rPr>
        <w:t>,5</w:t>
      </w:r>
      <w:proofErr w:type="gramEnd"/>
      <w:r>
        <w:rPr>
          <w:lang w:val="uk-UA"/>
        </w:rP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5) – по 10 років)</w:t>
      </w:r>
    </w:p>
    <w:p w:rsidR="00B44B2E" w:rsidRPr="002806E3" w:rsidRDefault="00B44B2E" w:rsidP="00B44B2E">
      <w:pPr>
        <w:rPr>
          <w:lang w:val="uk-UA"/>
        </w:rPr>
      </w:pPr>
      <w:proofErr w:type="spellStart"/>
      <w:r>
        <w:t>Ictbroadm</w:t>
      </w:r>
      <w:proofErr w:type="spellEnd"/>
      <w:r w:rsidR="007A7FDA">
        <w:rPr>
          <w:lang w:val="uk-UA"/>
        </w:rPr>
        <w:t xml:space="preserve"> (5, 7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10) – по 10 років)</w:t>
      </w:r>
    </w:p>
    <w:p w:rsidR="00B44B2E" w:rsidRDefault="00B44B2E" w:rsidP="00B44B2E">
      <w:pPr>
        <w:rPr>
          <w:lang w:val="uk-UA"/>
        </w:rPr>
      </w:pPr>
      <w:proofErr w:type="spellStart"/>
      <w:proofErr w:type="gramStart"/>
      <w:r>
        <w:t>ictbroadmobilm</w:t>
      </w:r>
      <w:proofErr w:type="spellEnd"/>
      <w:proofErr w:type="gramEnd"/>
      <w:r w:rsidR="007A7FDA">
        <w:rPr>
          <w:lang w:val="uk-UA"/>
        </w:rPr>
        <w:t xml:space="preserve"> (5, 7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10) – по 10 років)</w:t>
      </w:r>
    </w:p>
    <w:p w:rsidR="00B44B2E" w:rsidRDefault="00B44B2E" w:rsidP="00B44B2E">
      <w:pPr>
        <w:rPr>
          <w:lang w:val="uk-UA"/>
        </w:rPr>
      </w:pPr>
      <w:proofErr w:type="spellStart"/>
      <w:proofErr w:type="gramStart"/>
      <w:r>
        <w:t>ictspendm</w:t>
      </w:r>
      <w:proofErr w:type="spellEnd"/>
      <w:proofErr w:type="gramEnd"/>
      <w:r w:rsidR="007A7FDA">
        <w:rPr>
          <w:lang w:val="uk-UA"/>
        </w:rPr>
        <w:t xml:space="preserve"> (5, 7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10) – по 10 років)</w:t>
      </w:r>
    </w:p>
    <w:p w:rsidR="00F02CAE" w:rsidRDefault="00B44B2E" w:rsidP="00B44B2E">
      <w:pPr>
        <w:rPr>
          <w:lang w:val="uk-UA"/>
        </w:rPr>
      </w:pPr>
      <w:proofErr w:type="spellStart"/>
      <w:proofErr w:type="gramStart"/>
      <w:r>
        <w:t>democm</w:t>
      </w:r>
      <w:proofErr w:type="spellEnd"/>
      <w:proofErr w:type="gramEnd"/>
      <w:r w:rsidRPr="00F61FED">
        <w:rPr>
          <w:lang w:val="ru-RU"/>
        </w:rPr>
        <w:t xml:space="preserve"> (</w:t>
      </w:r>
      <w:r>
        <w:rPr>
          <w:lang w:val="uk-UA"/>
        </w:rPr>
        <w:t>2, 3</w:t>
      </w:r>
      <w:r w:rsidRPr="00F61FED">
        <w:rPr>
          <w:lang w:val="ru-RU"/>
        </w:rP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4) – по 10 років)</w:t>
      </w:r>
      <w:r w:rsidRPr="00F61FED">
        <w:rPr>
          <w:lang w:val="ru-RU"/>
        </w:rPr>
        <w:t xml:space="preserve"> + </w:t>
      </w:r>
      <w:r>
        <w:t>freedom</w:t>
      </w:r>
      <w:r w:rsidRPr="00F61FED">
        <w:rPr>
          <w:lang w:val="ru-RU"/>
        </w:rPr>
        <w:t xml:space="preserve"> (</w:t>
      </w:r>
      <w:r w:rsidRPr="00660F3E">
        <w:rPr>
          <w:lang w:val="ru-RU"/>
        </w:rPr>
        <w:t>0.5, 0.25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4) – по 10 років)</w:t>
      </w:r>
    </w:p>
    <w:p w:rsidR="007A7FDA" w:rsidRDefault="007A7FDA" w:rsidP="00B44B2E">
      <w:pPr>
        <w:rPr>
          <w:lang w:val="uk-UA"/>
        </w:rPr>
      </w:pPr>
      <w:r>
        <w:rPr>
          <w:lang w:val="uk-UA"/>
        </w:rPr>
        <w:t xml:space="preserve">На наведених нижче таблицях можемо спостерігати, як змінюються показники розвитку ІКТ. На першій таблиці наведені дані на 2017 рік. На другій можемо спостерігати, як відбувалися б зміни за </w:t>
      </w:r>
      <w:r w:rsidR="002C4997">
        <w:rPr>
          <w:lang w:val="uk-UA"/>
        </w:rPr>
        <w:t>базовим сценарієм. На наступній спостерігаємо зміни за сценарієм із зміненими показниками. Можна зробити висновок, що порівняно із змінами за базовим сценарієм, ситуація з ІКТ покращуватиметься набагато швидше та ефективніше.</w:t>
      </w:r>
    </w:p>
    <w:p w:rsidR="007A7FDA" w:rsidRDefault="007A7FDA" w:rsidP="00B44B2E">
      <w:pPr>
        <w:rPr>
          <w:lang w:val="uk-UA"/>
        </w:rPr>
      </w:pPr>
    </w:p>
    <w:p w:rsidR="0085024C" w:rsidRDefault="0085024C" w:rsidP="00B44B2E">
      <w:pPr>
        <w:rPr>
          <w:b/>
        </w:rPr>
      </w:pPr>
      <w:proofErr w:type="gramStart"/>
      <w:r w:rsidRPr="00153149">
        <w:rPr>
          <w:b/>
        </w:rPr>
        <w:t>2017</w:t>
      </w:r>
      <w:proofErr w:type="gramEnd"/>
      <w:r w:rsidRPr="00153149">
        <w:rPr>
          <w:b/>
        </w:rPr>
        <w:t xml:space="preserve"> (base</w:t>
      </w:r>
      <w:r w:rsidR="00153149">
        <w:rPr>
          <w:b/>
          <w:lang w:val="uk-UA"/>
        </w:rPr>
        <w:t xml:space="preserve"> </w:t>
      </w:r>
      <w:r w:rsidR="00153149">
        <w:rPr>
          <w:b/>
        </w:rPr>
        <w:t>scenario</w:t>
      </w:r>
      <w:r w:rsidRPr="00153149">
        <w:rPr>
          <w:b/>
        </w:rPr>
        <w:t>)</w:t>
      </w:r>
    </w:p>
    <w:p w:rsidR="007A7FDA" w:rsidRPr="00153149" w:rsidRDefault="007A7FDA" w:rsidP="00B44B2E">
      <w:pPr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63912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4C" w:rsidRDefault="0085024C" w:rsidP="00B44B2E">
      <w:r>
        <w:rPr>
          <w:noProof/>
          <w:lang w:val="uk-UA" w:eastAsia="uk-UA"/>
        </w:rPr>
        <w:drawing>
          <wp:inline distT="0" distB="0" distL="0" distR="0">
            <wp:extent cx="6391275" cy="762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4C" w:rsidRPr="00153149" w:rsidRDefault="0085024C" w:rsidP="00B44B2E">
      <w:pPr>
        <w:rPr>
          <w:b/>
        </w:rPr>
      </w:pPr>
      <w:proofErr w:type="gramStart"/>
      <w:r w:rsidRPr="00153149">
        <w:rPr>
          <w:b/>
        </w:rPr>
        <w:t>2035</w:t>
      </w:r>
      <w:proofErr w:type="gramEnd"/>
      <w:r w:rsidRPr="00153149">
        <w:rPr>
          <w:b/>
        </w:rPr>
        <w:t xml:space="preserve"> (base</w:t>
      </w:r>
      <w:r w:rsidR="00153149">
        <w:rPr>
          <w:b/>
        </w:rPr>
        <w:t xml:space="preserve"> scenario</w:t>
      </w:r>
      <w:r w:rsidRPr="00153149">
        <w:rPr>
          <w:b/>
        </w:rPr>
        <w:t>)</w:t>
      </w:r>
    </w:p>
    <w:p w:rsidR="0085024C" w:rsidRDefault="0085024C" w:rsidP="00B44B2E">
      <w:r>
        <w:rPr>
          <w:noProof/>
          <w:lang w:val="uk-UA" w:eastAsia="uk-UA"/>
        </w:rPr>
        <w:drawing>
          <wp:inline distT="0" distB="0" distL="0" distR="0">
            <wp:extent cx="640080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4C" w:rsidRPr="00153149" w:rsidRDefault="0085024C" w:rsidP="00B44B2E">
      <w:pPr>
        <w:rPr>
          <w:b/>
        </w:rPr>
      </w:pPr>
      <w:r w:rsidRPr="00153149">
        <w:rPr>
          <w:b/>
        </w:rPr>
        <w:lastRenderedPageBreak/>
        <w:t>2035 (</w:t>
      </w:r>
      <w:r w:rsidR="00170EBE" w:rsidRPr="00153149">
        <w:rPr>
          <w:b/>
        </w:rPr>
        <w:t>working scenario)</w:t>
      </w:r>
    </w:p>
    <w:p w:rsidR="00170EBE" w:rsidRPr="00CB3BBB" w:rsidRDefault="00170EBE" w:rsidP="00B44B2E">
      <w:pPr>
        <w:rPr>
          <w:b/>
        </w:rPr>
      </w:pPr>
      <w:r w:rsidRPr="00CB3BBB">
        <w:rPr>
          <w:b/>
          <w:noProof/>
          <w:lang w:val="uk-UA" w:eastAsia="uk-UA"/>
        </w:rPr>
        <w:drawing>
          <wp:inline distT="0" distB="0" distL="0" distR="0">
            <wp:extent cx="6419850" cy="7905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97" w:rsidRPr="00CB3BBB" w:rsidRDefault="00CB3BBB" w:rsidP="00B44B2E">
      <w:pPr>
        <w:rPr>
          <w:b/>
        </w:rPr>
      </w:pPr>
      <w:r w:rsidRPr="00CB3BBB">
        <w:rPr>
          <w:b/>
        </w:rPr>
        <w:t>ICT Mobile Broadband Index</w:t>
      </w:r>
      <w:r>
        <w:rPr>
          <w:b/>
        </w:rPr>
        <w:t>:</w:t>
      </w:r>
    </w:p>
    <w:p w:rsidR="00170EBE" w:rsidRDefault="00170EBE" w:rsidP="00B44B2E">
      <w:r>
        <w:rPr>
          <w:noProof/>
          <w:lang w:val="uk-UA" w:eastAsia="uk-UA"/>
        </w:rPr>
        <w:drawing>
          <wp:inline distT="0" distB="0" distL="0" distR="0">
            <wp:extent cx="8353822" cy="4133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289" cy="414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BB" w:rsidRDefault="00CB3BBB" w:rsidP="00B44B2E"/>
    <w:p w:rsidR="00CB3BBB" w:rsidRPr="00CB3BBB" w:rsidRDefault="00CB3BBB" w:rsidP="00B44B2E">
      <w:pPr>
        <w:rPr>
          <w:b/>
        </w:rPr>
      </w:pPr>
      <w:r w:rsidRPr="00CB3BBB">
        <w:rPr>
          <w:b/>
        </w:rPr>
        <w:lastRenderedPageBreak/>
        <w:t>Knowledge Society Index:</w:t>
      </w:r>
    </w:p>
    <w:p w:rsidR="00374717" w:rsidRDefault="0087292A" w:rsidP="00B44B2E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9248775" cy="4486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2A" w:rsidRPr="00CB3BBB" w:rsidRDefault="00CB3BBB" w:rsidP="00B44B2E">
      <w:pPr>
        <w:rPr>
          <w:lang w:val="uk-UA"/>
        </w:rPr>
      </w:pPr>
      <w:r>
        <w:rPr>
          <w:lang w:val="uk-UA"/>
        </w:rPr>
        <w:t xml:space="preserve">Можемо зробити висновки, що за умови змін, внесених у робочий сценарій, Китай може досягти досить відчутних покращень у сфері </w:t>
      </w:r>
      <w:proofErr w:type="spellStart"/>
      <w:r>
        <w:rPr>
          <w:lang w:val="uk-UA"/>
        </w:rPr>
        <w:t>діджитал</w:t>
      </w:r>
      <w:proofErr w:type="spellEnd"/>
      <w:r>
        <w:rPr>
          <w:lang w:val="uk-UA"/>
        </w:rPr>
        <w:t>, хоча його показники все ще залишатимуться нижчими, ніж у США.</w:t>
      </w:r>
    </w:p>
    <w:p w:rsidR="00374717" w:rsidRDefault="00374717" w:rsidP="00B44B2E">
      <w:pPr>
        <w:rPr>
          <w:lang w:val="uk-UA"/>
        </w:rPr>
      </w:pPr>
    </w:p>
    <w:p w:rsidR="00803B8F" w:rsidRDefault="00803B8F" w:rsidP="00B44B2E">
      <w:pPr>
        <w:rPr>
          <w:lang w:val="uk-UA"/>
        </w:rPr>
      </w:pPr>
    </w:p>
    <w:p w:rsidR="00977FEA" w:rsidRPr="008F7C69" w:rsidRDefault="00977FEA" w:rsidP="00977FEA">
      <w:pPr>
        <w:rPr>
          <w:b/>
          <w:bCs/>
        </w:rPr>
      </w:pPr>
      <w:r w:rsidRPr="008F7C69">
        <w:rPr>
          <w:b/>
          <w:bCs/>
          <w:highlight w:val="red"/>
        </w:rPr>
        <w:lastRenderedPageBreak/>
        <w:t>GOVERNMENT</w:t>
      </w:r>
    </w:p>
    <w:p w:rsidR="00977FEA" w:rsidRPr="008F7C69" w:rsidRDefault="00977FEA" w:rsidP="00977FEA">
      <w:pPr>
        <w:pStyle w:val="a3"/>
        <w:numPr>
          <w:ilvl w:val="0"/>
          <w:numId w:val="3"/>
        </w:numPr>
        <w:rPr>
          <w:b/>
          <w:bCs/>
          <w:lang w:val="ru-RU"/>
        </w:rPr>
      </w:pPr>
      <w:r w:rsidRPr="008F7C69">
        <w:rPr>
          <w:b/>
          <w:bCs/>
          <w:lang w:val="uk-UA"/>
        </w:rPr>
        <w:t>За моделлю державного управління перше місце займає</w:t>
      </w:r>
      <w:r w:rsidR="00CB3BBB">
        <w:rPr>
          <w:b/>
          <w:bCs/>
          <w:lang w:val="uk-UA"/>
        </w:rPr>
        <w:t xml:space="preserve"> Швейцарія</w:t>
      </w:r>
    </w:p>
    <w:p w:rsidR="00977FEA" w:rsidRPr="00324D4B" w:rsidRDefault="00CB3BBB" w:rsidP="00977FEA">
      <w:pPr>
        <w:rPr>
          <w:lang w:val="ru-RU"/>
        </w:rPr>
      </w:pPr>
      <w:r>
        <w:rPr>
          <w:lang w:val="uk-UA"/>
        </w:rPr>
        <w:t xml:space="preserve">Показник Швейцарії у </w:t>
      </w:r>
      <w:r>
        <w:t>Soft</w:t>
      </w:r>
      <w:r w:rsidRPr="00CB3BBB">
        <w:rPr>
          <w:lang w:val="ru-RU"/>
        </w:rPr>
        <w:t xml:space="preserve"> </w:t>
      </w:r>
      <w:r>
        <w:t>Power</w:t>
      </w:r>
      <w:r w:rsidRPr="00CB3BBB">
        <w:rPr>
          <w:lang w:val="ru-RU"/>
        </w:rPr>
        <w:t xml:space="preserve"> 30 2019: 94,</w:t>
      </w:r>
      <w:r w:rsidR="00324D4B" w:rsidRPr="00324D4B">
        <w:rPr>
          <w:lang w:val="ru-RU"/>
        </w:rPr>
        <w:t>35</w:t>
      </w:r>
    </w:p>
    <w:p w:rsidR="00977FEA" w:rsidRPr="008A177B" w:rsidRDefault="00977FEA" w:rsidP="00977FEA">
      <w:pPr>
        <w:pStyle w:val="a3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uk-UA"/>
        </w:rPr>
        <w:t>Китай</w:t>
      </w:r>
      <w:r>
        <w:rPr>
          <w:b/>
          <w:bCs/>
          <w:lang w:val="ru-RU"/>
        </w:rPr>
        <w:t xml:space="preserve"> за </w:t>
      </w:r>
      <w:proofErr w:type="spellStart"/>
      <w:r>
        <w:rPr>
          <w:b/>
          <w:bCs/>
          <w:lang w:val="ru-RU"/>
        </w:rPr>
        <w:t>моделлю</w:t>
      </w:r>
      <w:proofErr w:type="spellEnd"/>
      <w:r>
        <w:rPr>
          <w:b/>
          <w:bCs/>
          <w:lang w:val="ru-RU"/>
        </w:rPr>
        <w:t xml:space="preserve"> уряду на 29</w:t>
      </w:r>
      <w:r w:rsidRPr="008A177B">
        <w:rPr>
          <w:b/>
          <w:bCs/>
          <w:lang w:val="ru-RU"/>
        </w:rPr>
        <w:t xml:space="preserve"> </w:t>
      </w:r>
      <w:proofErr w:type="spellStart"/>
      <w:r w:rsidRPr="008A177B">
        <w:rPr>
          <w:b/>
          <w:bCs/>
          <w:lang w:val="ru-RU"/>
        </w:rPr>
        <w:t>місці</w:t>
      </w:r>
      <w:proofErr w:type="spellEnd"/>
      <w:r w:rsidRPr="008A177B">
        <w:rPr>
          <w:b/>
          <w:bCs/>
          <w:lang w:val="ru-RU"/>
        </w:rPr>
        <w:t xml:space="preserve">. </w:t>
      </w:r>
    </w:p>
    <w:p w:rsidR="00324D4B" w:rsidRPr="00324D4B" w:rsidRDefault="00324D4B" w:rsidP="00324D4B">
      <w:pPr>
        <w:rPr>
          <w:lang w:val="ru-RU"/>
        </w:rPr>
      </w:pPr>
      <w:r>
        <w:rPr>
          <w:lang w:val="uk-UA"/>
        </w:rPr>
        <w:t>Показник Китаю</w:t>
      </w:r>
      <w:r w:rsidRPr="00324D4B">
        <w:rPr>
          <w:lang w:val="uk-UA"/>
        </w:rPr>
        <w:t xml:space="preserve"> у </w:t>
      </w:r>
      <w:r>
        <w:t>Soft</w:t>
      </w:r>
      <w:r w:rsidRPr="00324D4B">
        <w:rPr>
          <w:lang w:val="ru-RU"/>
        </w:rPr>
        <w:t xml:space="preserve"> </w:t>
      </w:r>
      <w:r>
        <w:t>Power</w:t>
      </w:r>
      <w:r>
        <w:rPr>
          <w:lang w:val="ru-RU"/>
        </w:rPr>
        <w:t xml:space="preserve"> 30 2019: 44,12</w:t>
      </w:r>
    </w:p>
    <w:p w:rsidR="00977FEA" w:rsidRPr="008A177B" w:rsidRDefault="00977FEA" w:rsidP="00977FEA">
      <w:pPr>
        <w:pStyle w:val="a3"/>
        <w:numPr>
          <w:ilvl w:val="0"/>
          <w:numId w:val="3"/>
        </w:numPr>
        <w:rPr>
          <w:b/>
          <w:bCs/>
          <w:lang w:val="ru-RU"/>
        </w:rPr>
      </w:pPr>
      <w:proofErr w:type="spellStart"/>
      <w:r w:rsidRPr="008A177B">
        <w:rPr>
          <w:b/>
          <w:bCs/>
          <w:lang w:val="ru-RU"/>
        </w:rPr>
        <w:t>Параметри</w:t>
      </w:r>
      <w:proofErr w:type="spellEnd"/>
      <w:r w:rsidRPr="008A177B">
        <w:rPr>
          <w:b/>
          <w:bCs/>
          <w:lang w:val="ru-RU"/>
        </w:rPr>
        <w:t xml:space="preserve">, </w:t>
      </w:r>
      <w:proofErr w:type="spellStart"/>
      <w:r w:rsidRPr="008A177B">
        <w:rPr>
          <w:b/>
          <w:bCs/>
          <w:lang w:val="ru-RU"/>
        </w:rPr>
        <w:t>які</w:t>
      </w:r>
      <w:proofErr w:type="spellEnd"/>
      <w:r w:rsidRPr="008A177B">
        <w:rPr>
          <w:b/>
          <w:bCs/>
          <w:lang w:val="ru-RU"/>
        </w:rPr>
        <w:t xml:space="preserve"> </w:t>
      </w:r>
      <w:proofErr w:type="spellStart"/>
      <w:r w:rsidRPr="008A177B">
        <w:rPr>
          <w:b/>
          <w:bCs/>
          <w:lang w:val="ru-RU"/>
        </w:rPr>
        <w:t>можна</w:t>
      </w:r>
      <w:proofErr w:type="spellEnd"/>
      <w:r w:rsidRPr="008A177B">
        <w:rPr>
          <w:b/>
          <w:bCs/>
          <w:lang w:val="ru-RU"/>
        </w:rPr>
        <w:t xml:space="preserve"> </w:t>
      </w:r>
      <w:proofErr w:type="spellStart"/>
      <w:r w:rsidRPr="008A177B">
        <w:rPr>
          <w:b/>
          <w:bCs/>
          <w:lang w:val="ru-RU"/>
        </w:rPr>
        <w:t>змінити</w:t>
      </w:r>
      <w:proofErr w:type="spellEnd"/>
      <w:r w:rsidRPr="008A177B">
        <w:rPr>
          <w:b/>
          <w:bCs/>
          <w:lang w:val="ru-RU"/>
        </w:rPr>
        <w:t>:</w:t>
      </w:r>
    </w:p>
    <w:p w:rsidR="00977FEA" w:rsidRPr="0007225B" w:rsidRDefault="00977FEA" w:rsidP="00963BDA">
      <w:pPr>
        <w:spacing w:after="0"/>
      </w:pPr>
      <w:proofErr w:type="spellStart"/>
      <w:r w:rsidRPr="00CB3BBB">
        <w:t>Gemm</w:t>
      </w:r>
      <w:proofErr w:type="spellEnd"/>
      <w:r w:rsidR="00CB3BBB">
        <w:rPr>
          <w:lang w:val="uk-UA"/>
        </w:rPr>
        <w:t xml:space="preserve"> </w:t>
      </w:r>
      <w:r w:rsidRPr="004401B1">
        <w:t>– gender empowerment measure multiplier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5, 2</w:t>
      </w:r>
      <w:proofErr w:type="gramStart"/>
      <w:r w:rsidR="00CB3BBB">
        <w:rPr>
          <w:lang w:val="uk-UA"/>
        </w:rPr>
        <w:t>,5</w:t>
      </w:r>
      <w:proofErr w:type="gramEnd"/>
      <w:r>
        <w:rPr>
          <w:lang w:val="uk-UA"/>
        </w:rPr>
        <w:t>,</w:t>
      </w:r>
      <w:r w:rsidR="00CB3BBB">
        <w:rPr>
          <w:lang w:val="uk-UA"/>
        </w:rPr>
        <w:t xml:space="preserve"> </w:t>
      </w:r>
      <w:r>
        <w:rPr>
          <w:lang w:val="uk-UA"/>
        </w:rPr>
        <w:t>4 по 10 років)</w:t>
      </w:r>
    </w:p>
    <w:p w:rsidR="00977FEA" w:rsidRPr="008D0515" w:rsidRDefault="00977FEA" w:rsidP="00963BDA">
      <w:pPr>
        <w:spacing w:after="0"/>
        <w:rPr>
          <w:lang w:val="uk-UA"/>
        </w:rPr>
      </w:pPr>
      <w:proofErr w:type="spellStart"/>
      <w:proofErr w:type="gramStart"/>
      <w:r w:rsidRPr="00CB3BBB">
        <w:t>democm</w:t>
      </w:r>
      <w:proofErr w:type="spellEnd"/>
      <w:proofErr w:type="gramEnd"/>
      <w:r w:rsidRPr="004401B1">
        <w:t xml:space="preserve"> - Democracy level multiplier</w:t>
      </w:r>
      <w:r w:rsidRPr="008D0515">
        <w:t xml:space="preserve"> (</w:t>
      </w:r>
      <w:r>
        <w:rPr>
          <w:lang w:val="ru-RU"/>
        </w:rPr>
        <w:t>макс</w:t>
      </w:r>
      <w:r w:rsidRPr="008D0515">
        <w:t xml:space="preserve"> 4, 2,3 </w:t>
      </w:r>
      <w:r>
        <w:rPr>
          <w:lang w:val="ru-RU"/>
        </w:rPr>
        <w:t>по</w:t>
      </w:r>
      <w:r w:rsidRPr="008D0515">
        <w:t xml:space="preserve"> 10 </w:t>
      </w:r>
      <w:r>
        <w:rPr>
          <w:lang w:val="ru-RU"/>
        </w:rPr>
        <w:t>рок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</w:t>
      </w:r>
    </w:p>
    <w:p w:rsidR="00977FEA" w:rsidRPr="00C00FC9" w:rsidRDefault="00977FEA" w:rsidP="00963BDA">
      <w:pPr>
        <w:spacing w:after="0"/>
        <w:rPr>
          <w:lang w:val="uk-UA"/>
        </w:rPr>
      </w:pPr>
      <w:proofErr w:type="spellStart"/>
      <w:r w:rsidRPr="00CB3BBB">
        <w:t>Gdpshadowshrm</w:t>
      </w:r>
      <w:proofErr w:type="spellEnd"/>
      <w:r w:rsidRPr="004401B1">
        <w:t xml:space="preserve"> – shadow economy share multiplier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2, мін 0.05, 0.5, 0.1, по 10 років)</w:t>
      </w:r>
    </w:p>
    <w:p w:rsidR="00977FEA" w:rsidRPr="00F26888" w:rsidRDefault="00977FEA" w:rsidP="00963BDA">
      <w:pPr>
        <w:spacing w:after="0"/>
        <w:rPr>
          <w:lang w:val="uk-UA"/>
        </w:rPr>
      </w:pPr>
      <w:proofErr w:type="spellStart"/>
      <w:r w:rsidRPr="00CB3BBB">
        <w:t>Ginidomm</w:t>
      </w:r>
      <w:proofErr w:type="spellEnd"/>
      <w:r w:rsidRPr="004401B1">
        <w:t xml:space="preserve"> – Domestic GINI multiplier</w:t>
      </w:r>
      <w: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3.3, мін 0.01, 0.5, 0.1 по 10 років)</w:t>
      </w:r>
    </w:p>
    <w:p w:rsidR="00324D4B" w:rsidRDefault="00977FEA" w:rsidP="00963BDA">
      <w:pPr>
        <w:spacing w:after="0"/>
        <w:rPr>
          <w:lang w:val="uk-UA"/>
        </w:rPr>
      </w:pPr>
      <w:proofErr w:type="spellStart"/>
      <w:r w:rsidRPr="00CB3BBB">
        <w:t>Goveffectm</w:t>
      </w:r>
      <w:proofErr w:type="spellEnd"/>
      <w:r w:rsidRPr="004401B1">
        <w:t xml:space="preserve"> – government effectiveness multiplier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макс</w:t>
      </w:r>
      <w:proofErr w:type="spellEnd"/>
      <w:r>
        <w:rPr>
          <w:lang w:val="uk-UA"/>
        </w:rPr>
        <w:t xml:space="preserve"> 5, 3</w:t>
      </w:r>
      <w:proofErr w:type="gramStart"/>
      <w:r>
        <w:rPr>
          <w:lang w:val="uk-UA"/>
        </w:rPr>
        <w:t>,4</w:t>
      </w:r>
      <w:proofErr w:type="gramEnd"/>
      <w:r>
        <w:rPr>
          <w:lang w:val="uk-UA"/>
        </w:rPr>
        <w:t xml:space="preserve"> по 10 років)</w:t>
      </w:r>
    </w:p>
    <w:p w:rsidR="00963BDA" w:rsidRDefault="00963BDA" w:rsidP="00963BDA">
      <w:pPr>
        <w:spacing w:after="0"/>
        <w:rPr>
          <w:lang w:val="uk-UA"/>
        </w:rPr>
      </w:pPr>
    </w:p>
    <w:p w:rsidR="00374717" w:rsidRPr="00963BDA" w:rsidRDefault="00324D4B" w:rsidP="00977FEA">
      <w:pPr>
        <w:rPr>
          <w:lang w:val="uk-UA"/>
        </w:rPr>
      </w:pPr>
      <w:r>
        <w:rPr>
          <w:lang w:val="uk-UA"/>
        </w:rPr>
        <w:t>Після запуска сценарію, отримали наступні результати (</w:t>
      </w:r>
      <w:r>
        <w:t>Governance</w:t>
      </w:r>
      <w:r w:rsidRPr="00324D4B">
        <w:rPr>
          <w:lang w:val="uk-UA"/>
        </w:rPr>
        <w:t xml:space="preserve"> </w:t>
      </w:r>
      <w:r>
        <w:t>Effectiveness</w:t>
      </w:r>
      <w:r w:rsidRPr="00324D4B">
        <w:rPr>
          <w:lang w:val="uk-UA"/>
        </w:rPr>
        <w:t xml:space="preserve"> </w:t>
      </w:r>
      <w:r>
        <w:t>Index</w:t>
      </w:r>
      <w:r w:rsidRPr="00324D4B">
        <w:rPr>
          <w:lang w:val="uk-UA"/>
        </w:rPr>
        <w:t>)</w:t>
      </w:r>
      <w:r w:rsidR="00963BDA">
        <w:rPr>
          <w:lang w:val="uk-UA"/>
        </w:rPr>
        <w:t>, де спостерігаємо значні позитивні зрушення</w:t>
      </w:r>
      <w:r w:rsidRPr="00324D4B">
        <w:rPr>
          <w:lang w:val="uk-UA"/>
        </w:rPr>
        <w:t>:</w:t>
      </w:r>
      <w:r w:rsidR="00CB3BBB">
        <w:rPr>
          <w:noProof/>
          <w:lang w:val="uk-UA" w:eastAsia="uk-UA"/>
        </w:rPr>
        <w:drawing>
          <wp:inline distT="0" distB="0" distL="0" distR="0" wp14:anchorId="09BF6F35" wp14:editId="1019EA05">
            <wp:extent cx="6134100" cy="290895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49" cy="29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BDA" w:rsidRPr="00963BDA">
        <w:rPr>
          <w:noProof/>
          <w:lang w:val="uk-UA" w:eastAsia="ru-RU"/>
        </w:rPr>
        <w:t xml:space="preserve"> </w:t>
      </w:r>
      <w:r w:rsidR="00963BDA">
        <w:rPr>
          <w:noProof/>
          <w:lang w:val="uk-UA" w:eastAsia="uk-UA"/>
        </w:rPr>
        <w:drawing>
          <wp:inline distT="0" distB="0" distL="0" distR="0" wp14:anchorId="5571E490" wp14:editId="0D5A4321">
            <wp:extent cx="1971675" cy="2930018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28" cy="29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717" w:rsidRPr="00F26888" w:rsidRDefault="00374717" w:rsidP="00977FEA">
      <w:pPr>
        <w:rPr>
          <w:lang w:val="uk-UA"/>
        </w:rPr>
      </w:pPr>
    </w:p>
    <w:p w:rsidR="00803B8F" w:rsidRPr="00963BDA" w:rsidRDefault="00963BDA" w:rsidP="00B44B2E">
      <w:pPr>
        <w:rPr>
          <w:b/>
        </w:rPr>
      </w:pPr>
      <w:r w:rsidRPr="00963BDA">
        <w:rPr>
          <w:b/>
        </w:rPr>
        <w:t>Power Measure, Global Power Index:</w:t>
      </w:r>
      <w:r w:rsidRPr="00963BDA">
        <w:rPr>
          <w:noProof/>
          <w:lang w:eastAsia="ru-RU"/>
        </w:rPr>
        <w:t xml:space="preserve"> </w:t>
      </w:r>
    </w:p>
    <w:p w:rsidR="0085024C" w:rsidRDefault="0085024C" w:rsidP="00B44B2E">
      <w:pPr>
        <w:rPr>
          <w:lang w:val="uk-UA"/>
        </w:rPr>
      </w:pPr>
    </w:p>
    <w:p w:rsidR="008E1661" w:rsidRDefault="008E1661" w:rsidP="00B44B2E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9248775" cy="43243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DA" w:rsidRDefault="00963BDA" w:rsidP="00B44B2E">
      <w:pPr>
        <w:rPr>
          <w:lang w:val="uk-UA"/>
        </w:rPr>
      </w:pPr>
    </w:p>
    <w:p w:rsidR="00963BDA" w:rsidRDefault="00963BDA" w:rsidP="00B44B2E">
      <w:pPr>
        <w:rPr>
          <w:lang w:val="uk-UA"/>
        </w:rPr>
      </w:pPr>
    </w:p>
    <w:p w:rsidR="00963BDA" w:rsidRPr="00963BDA" w:rsidRDefault="00963BDA" w:rsidP="00B44B2E">
      <w:pPr>
        <w:rPr>
          <w:b/>
        </w:rPr>
      </w:pPr>
      <w:r w:rsidRPr="00963BDA">
        <w:rPr>
          <w:b/>
        </w:rPr>
        <w:lastRenderedPageBreak/>
        <w:t>Power of Leading Actors:</w:t>
      </w:r>
    </w:p>
    <w:p w:rsidR="00963BDA" w:rsidRDefault="00963BDA" w:rsidP="00B44B2E">
      <w:pPr>
        <w:rPr>
          <w:lang w:val="uk-UA"/>
        </w:rPr>
      </w:pPr>
    </w:p>
    <w:p w:rsidR="0085024C" w:rsidRDefault="0085024C" w:rsidP="00B44B2E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9239250" cy="4581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DA" w:rsidRDefault="00963BDA" w:rsidP="00B44B2E">
      <w:pPr>
        <w:rPr>
          <w:lang w:val="uk-UA"/>
        </w:rPr>
      </w:pPr>
      <w:r>
        <w:rPr>
          <w:lang w:val="uk-UA"/>
        </w:rPr>
        <w:t xml:space="preserve">З вищенаведених результатів можемо зробити висновки, що за умов робочого сценарію Китаю вдалося б значно покращити своє положення на міжнародній арені. За індексом </w:t>
      </w:r>
      <w:r w:rsidRPr="00963BDA">
        <w:t>Power</w:t>
      </w:r>
      <w:r w:rsidRPr="00963BDA">
        <w:rPr>
          <w:lang w:val="ru-RU"/>
        </w:rPr>
        <w:t xml:space="preserve"> </w:t>
      </w:r>
      <w:r w:rsidRPr="00963BDA">
        <w:t>of</w:t>
      </w:r>
      <w:r w:rsidRPr="00963BDA">
        <w:rPr>
          <w:lang w:val="ru-RU"/>
        </w:rPr>
        <w:t xml:space="preserve"> </w:t>
      </w:r>
      <w:r w:rsidRPr="00963BDA">
        <w:t>Leading</w:t>
      </w:r>
      <w:r w:rsidRPr="00963BDA">
        <w:rPr>
          <w:lang w:val="ru-RU"/>
        </w:rPr>
        <w:t xml:space="preserve"> </w:t>
      </w:r>
      <w:r w:rsidRPr="00963BDA">
        <w:t>Actors</w:t>
      </w:r>
      <w:r w:rsidRPr="00963BDA">
        <w:rPr>
          <w:lang w:val="uk-UA"/>
        </w:rPr>
        <w:t xml:space="preserve"> КНР сильно наблизилася до показників США.</w:t>
      </w:r>
      <w:r>
        <w:rPr>
          <w:b/>
          <w:lang w:val="uk-UA"/>
        </w:rPr>
        <w:t xml:space="preserve"> </w:t>
      </w:r>
      <w:r w:rsidRPr="00963BDA">
        <w:rPr>
          <w:lang w:val="uk-UA"/>
        </w:rPr>
        <w:t>Це свідчить про те, що показник врядування є фактором, що дуже суттєво впливає на положення Китаю на міжнародній арені, а демократизація тут призвела б до значних позитивних зрушень.</w:t>
      </w:r>
      <w:r w:rsidR="003521A3">
        <w:rPr>
          <w:lang w:val="uk-UA"/>
        </w:rPr>
        <w:t xml:space="preserve"> Можна </w:t>
      </w:r>
      <w:r w:rsidR="003521A3">
        <w:rPr>
          <w:lang w:val="uk-UA"/>
        </w:rPr>
        <w:lastRenderedPageBreak/>
        <w:t xml:space="preserve">помітити, що за даним сценарієм показники впливу США стабільно знижуються, тож можна висунути припущення про те, що Китай у певний момент зможе випередити США. </w:t>
      </w:r>
    </w:p>
    <w:p w:rsidR="00963BDA" w:rsidRPr="00963BDA" w:rsidRDefault="00963BDA" w:rsidP="00B44B2E">
      <w:pPr>
        <w:rPr>
          <w:lang w:val="uk-UA"/>
        </w:rPr>
      </w:pPr>
    </w:p>
    <w:sectPr w:rsidR="00963BDA" w:rsidRPr="00963BDA" w:rsidSect="00413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0B1"/>
    <w:multiLevelType w:val="hybridMultilevel"/>
    <w:tmpl w:val="DA8263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7EA8"/>
    <w:multiLevelType w:val="hybridMultilevel"/>
    <w:tmpl w:val="03BA54C2"/>
    <w:lvl w:ilvl="0" w:tplc="378C3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77614"/>
    <w:multiLevelType w:val="hybridMultilevel"/>
    <w:tmpl w:val="1AF8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0"/>
    <w:rsid w:val="00153149"/>
    <w:rsid w:val="00170EBE"/>
    <w:rsid w:val="002C4997"/>
    <w:rsid w:val="00324D4B"/>
    <w:rsid w:val="003521A3"/>
    <w:rsid w:val="00374717"/>
    <w:rsid w:val="003D6898"/>
    <w:rsid w:val="00400494"/>
    <w:rsid w:val="00413EA0"/>
    <w:rsid w:val="0073085E"/>
    <w:rsid w:val="007A7FDA"/>
    <w:rsid w:val="007C730B"/>
    <w:rsid w:val="007D372B"/>
    <w:rsid w:val="00803B8F"/>
    <w:rsid w:val="0085024C"/>
    <w:rsid w:val="00851E19"/>
    <w:rsid w:val="0087292A"/>
    <w:rsid w:val="008E1661"/>
    <w:rsid w:val="00963BDA"/>
    <w:rsid w:val="00977FEA"/>
    <w:rsid w:val="00B44B2E"/>
    <w:rsid w:val="00BE115D"/>
    <w:rsid w:val="00CB3BBB"/>
    <w:rsid w:val="00D000AD"/>
    <w:rsid w:val="00D571A3"/>
    <w:rsid w:val="00DD38F3"/>
    <w:rsid w:val="00F02CAE"/>
    <w:rsid w:val="00F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8E9F"/>
  <w15:chartTrackingRefBased/>
  <w15:docId w15:val="{61CBE222-8B61-4F86-A034-7BA29FD5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A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A0"/>
    <w:pPr>
      <w:ind w:left="720"/>
      <w:contextualSpacing/>
    </w:pPr>
  </w:style>
  <w:style w:type="table" w:styleId="a4">
    <w:name w:val="Table Grid"/>
    <w:basedOn w:val="a1"/>
    <w:uiPriority w:val="39"/>
    <w:rsid w:val="00F02C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5662</Words>
  <Characters>3228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Nikolay Kyrychek</cp:lastModifiedBy>
  <cp:revision>3</cp:revision>
  <dcterms:created xsi:type="dcterms:W3CDTF">2022-02-07T09:50:00Z</dcterms:created>
  <dcterms:modified xsi:type="dcterms:W3CDTF">2022-11-28T16:54:00Z</dcterms:modified>
</cp:coreProperties>
</file>